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1F442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1F4421" w:rsidRDefault="00FB1897" w:rsidP="001F4421">
            <w:pPr>
              <w:spacing w:after="80" w:line="300" w:lineRule="exact"/>
              <w:rPr>
                <w:sz w:val="28"/>
              </w:rPr>
            </w:pPr>
            <w:r w:rsidRPr="001F442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1F4421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8E7D1B" w:rsidP="001F4421">
            <w:pPr>
              <w:jc w:val="right"/>
            </w:pPr>
            <w:r w:rsidRPr="001F4421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043224">
                <w:t>TRANS/WP.15/222/Corr.1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1F442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696D92" w:rsidP="001F44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1F4421" w:rsidRDefault="00FB1897" w:rsidP="001F4421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1F4421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1F4421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FB1897" w:rsidP="001F4421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0"/>
          </w:p>
          <w:p w:rsidR="00FB1897" w:rsidRPr="00245892" w:rsidRDefault="00FB1897" w:rsidP="00F77538">
            <w:fldSimple w:instr=" FILLIN  &quot;Введите дату документа&quot; \* MERGEFORMAT ">
              <w:r w:rsidR="00043224">
                <w:t>26 May 2014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1F4421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30E81" w:rsidRPr="001F3331" w:rsidRDefault="00A30E81" w:rsidP="00A30E81">
      <w:pPr>
        <w:spacing w:before="120"/>
        <w:rPr>
          <w:sz w:val="28"/>
          <w:szCs w:val="28"/>
        </w:rPr>
      </w:pPr>
      <w:r w:rsidRPr="001F3331">
        <w:rPr>
          <w:sz w:val="28"/>
          <w:szCs w:val="28"/>
        </w:rPr>
        <w:t>Комитет по внутреннему транспорту</w:t>
      </w:r>
    </w:p>
    <w:p w:rsidR="00A30E81" w:rsidRPr="001F3331" w:rsidRDefault="00A30E81" w:rsidP="00A30E81">
      <w:pPr>
        <w:spacing w:before="120"/>
        <w:rPr>
          <w:b/>
          <w:sz w:val="24"/>
          <w:szCs w:val="24"/>
        </w:rPr>
      </w:pPr>
      <w:r w:rsidRPr="001F3331">
        <w:rPr>
          <w:b/>
          <w:sz w:val="24"/>
          <w:szCs w:val="24"/>
        </w:rPr>
        <w:t>Рабоч</w:t>
      </w:r>
      <w:r w:rsidR="008B0E8E">
        <w:rPr>
          <w:b/>
          <w:sz w:val="24"/>
          <w:szCs w:val="24"/>
        </w:rPr>
        <w:t>ая</w:t>
      </w:r>
      <w:r w:rsidRPr="001F3331">
        <w:rPr>
          <w:b/>
          <w:sz w:val="24"/>
          <w:szCs w:val="24"/>
        </w:rPr>
        <w:t xml:space="preserve"> групп</w:t>
      </w:r>
      <w:r w:rsidR="008B0E8E">
        <w:rPr>
          <w:b/>
          <w:sz w:val="24"/>
          <w:szCs w:val="24"/>
        </w:rPr>
        <w:t>а</w:t>
      </w:r>
      <w:r w:rsidRPr="001F3331">
        <w:rPr>
          <w:b/>
          <w:sz w:val="24"/>
          <w:szCs w:val="24"/>
        </w:rPr>
        <w:t xml:space="preserve"> по перевозкам опасных грузов</w:t>
      </w:r>
    </w:p>
    <w:p w:rsidR="00A30E81" w:rsidRPr="001F3331" w:rsidRDefault="00A30E81" w:rsidP="00A30E81">
      <w:pPr>
        <w:pStyle w:val="HChGR"/>
        <w:rPr>
          <w:bCs/>
        </w:rPr>
      </w:pPr>
      <w:r w:rsidRPr="001F3331">
        <w:tab/>
      </w:r>
      <w:r w:rsidRPr="001F3331">
        <w:tab/>
        <w:t>Европейское соглашение о международной дорожной перевозке опасных грузов (ДОПОГ)</w:t>
      </w:r>
    </w:p>
    <w:p w:rsidR="00A30E81" w:rsidRPr="001F3331" w:rsidRDefault="00A30E81" w:rsidP="00A30E81">
      <w:pPr>
        <w:pStyle w:val="H1GR"/>
      </w:pPr>
      <w:r w:rsidRPr="001F3331">
        <w:tab/>
      </w:r>
      <w:r w:rsidRPr="001F3331">
        <w:tab/>
        <w:t>Проект поправок к приложениям А и В к ДОПОГ</w:t>
      </w:r>
    </w:p>
    <w:p w:rsidR="00A30E81" w:rsidRPr="001F3331" w:rsidRDefault="00A30E81" w:rsidP="00A30E81">
      <w:pPr>
        <w:pStyle w:val="H23GR"/>
      </w:pPr>
      <w:r w:rsidRPr="001F3331">
        <w:tab/>
      </w:r>
      <w:r w:rsidRPr="001F3331">
        <w:tab/>
        <w:t>Исправление</w:t>
      </w:r>
    </w:p>
    <w:p w:rsidR="00A30E81" w:rsidRPr="001F3331" w:rsidRDefault="00A30E81" w:rsidP="00A30E81">
      <w:pPr>
        <w:pStyle w:val="H23GR"/>
      </w:pPr>
      <w:r w:rsidRPr="001F3331">
        <w:tab/>
        <w:t>1.</w:t>
      </w:r>
      <w:r w:rsidRPr="001F3331">
        <w:tab/>
        <w:t>Стр. 2, поправка – часть 1, глава 1.1, пункт 1.1.3.6.3, второй подпункт:</w:t>
      </w:r>
    </w:p>
    <w:p w:rsidR="00040358" w:rsidRDefault="00040358" w:rsidP="00040358">
      <w:pPr>
        <w:pStyle w:val="SingleTxtGR"/>
        <w:rPr>
          <w:lang w:val="en-US"/>
        </w:rPr>
      </w:pP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После </w:t>
      </w:r>
      <w:r w:rsidRPr="003676DF">
        <w:t xml:space="preserve">"сжатых газов" </w:t>
      </w:r>
      <w:r w:rsidRPr="003676DF">
        <w:rPr>
          <w:i/>
        </w:rPr>
        <w:t>включить</w:t>
      </w:r>
      <w:r w:rsidRPr="003676DF">
        <w:t>: ", адсорбированных газов".</w:t>
      </w:r>
    </w:p>
    <w:p w:rsidR="00040358" w:rsidRPr="003676DF" w:rsidRDefault="00040358" w:rsidP="00040358">
      <w:pPr>
        <w:pStyle w:val="H23GR"/>
      </w:pPr>
      <w:r w:rsidRPr="003676DF">
        <w:tab/>
        <w:t>2.</w:t>
      </w:r>
      <w:r w:rsidRPr="003676DF">
        <w:tab/>
        <w:t>Стр. 2, поправка – часть 1, глава 1.1, пункт 1.1.3.6.5: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 xml:space="preserve">"и 1.1.3.9" </w:t>
      </w:r>
      <w:r w:rsidRPr="003676DF">
        <w:rPr>
          <w:i/>
        </w:rPr>
        <w:t xml:space="preserve">на </w:t>
      </w:r>
      <w:r w:rsidRPr="003676DF">
        <w:t>", 1.1.3.9 и 1.1.3.10".</w:t>
      </w:r>
    </w:p>
    <w:p w:rsidR="00040358" w:rsidRPr="003676DF" w:rsidRDefault="00040358" w:rsidP="00040358">
      <w:pPr>
        <w:pStyle w:val="H23GR"/>
      </w:pPr>
      <w:r w:rsidRPr="003676DF">
        <w:tab/>
        <w:t>3.</w:t>
      </w:r>
      <w:r w:rsidRPr="003676DF">
        <w:tab/>
        <w:t>Стр. 7, поправка – часть 1, глава 1.6, новая переходная мера 1.6.2.13: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>существующий текст следующим:</w:t>
      </w:r>
    </w:p>
    <w:p w:rsidR="00040358" w:rsidRPr="003676DF" w:rsidRDefault="00040358" w:rsidP="00040358">
      <w:pPr>
        <w:pStyle w:val="SingleTxtGR"/>
      </w:pPr>
      <w:r w:rsidRPr="003676DF">
        <w:t>"1.6.2.13</w:t>
      </w:r>
      <w:r w:rsidRPr="003676DF">
        <w:tab/>
        <w:t>Связки баллонов, изготовленные до 1 июля 2013 года и не име</w:t>
      </w:r>
      <w:r w:rsidRPr="003676DF">
        <w:t>ю</w:t>
      </w:r>
      <w:r w:rsidRPr="003676DF">
        <w:t>щие маркировку в соответствии с пунктами 6.2.3.9.7.2 и 6.2.3.9.7.3, применя</w:t>
      </w:r>
      <w:r w:rsidRPr="003676DF">
        <w:t>е</w:t>
      </w:r>
      <w:r w:rsidRPr="003676DF">
        <w:t>мыми с 1 января 2013 года, или пунктом 6.2.3.9.7.2, применяемым с 1 января 2015 года, могут использоваться до следующей периодической проверки после 1 июля 2015 года.".</w:t>
      </w:r>
    </w:p>
    <w:p w:rsidR="00040358" w:rsidRPr="003676DF" w:rsidRDefault="00040358" w:rsidP="00040358">
      <w:pPr>
        <w:pStyle w:val="H23GR"/>
      </w:pPr>
      <w:r w:rsidRPr="003676DF">
        <w:tab/>
        <w:t>4.</w:t>
      </w:r>
      <w:r w:rsidRPr="003676DF">
        <w:tab/>
        <w:t>Стр. 7, поправка – часть 1, глава 1.6, новая переходная мера 1.6.3.44: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>существующий текст следующим:</w:t>
      </w:r>
    </w:p>
    <w:p w:rsidR="00040358" w:rsidRPr="003676DF" w:rsidRDefault="00040358" w:rsidP="00040358">
      <w:pPr>
        <w:pStyle w:val="SingleTxtGR"/>
      </w:pPr>
      <w:r w:rsidRPr="003676DF">
        <w:t>"1.6.3.44</w:t>
      </w:r>
      <w:r w:rsidRPr="003676DF">
        <w:tab/>
        <w:t>Встроенные цистерны (автоцистерны) и съемные цистерны, пре</w:t>
      </w:r>
      <w:r w:rsidRPr="003676DF">
        <w:t>д</w:t>
      </w:r>
      <w:r w:rsidRPr="003676DF">
        <w:t>назначенные для перевозки № ООН 1202, 1203, 1223, 3475 и авиационного то</w:t>
      </w:r>
      <w:r w:rsidRPr="003676DF">
        <w:t>п</w:t>
      </w:r>
      <w:r w:rsidRPr="003676DF">
        <w:t>лива, классифицированного под № ООН 1268 или № ООН 1863, и оснащенные устройствами для добавления присадок, сконструированными и изготовленн</w:t>
      </w:r>
      <w:r w:rsidRPr="003676DF">
        <w:t>ы</w:t>
      </w:r>
      <w:r w:rsidRPr="003676DF">
        <w:lastRenderedPageBreak/>
        <w:t>ми до 1 июля 2015 года в соответствии с национальными правилами, но не с</w:t>
      </w:r>
      <w:r w:rsidRPr="003676DF">
        <w:t>о</w:t>
      </w:r>
      <w:r w:rsidRPr="003676DF">
        <w:t>ответствующими требованиям специального положения 664 главы 3.3 в отн</w:t>
      </w:r>
      <w:r w:rsidRPr="003676DF">
        <w:t>о</w:t>
      </w:r>
      <w:r w:rsidRPr="003676DF">
        <w:t>шении изготовления, утверждения и испытания, применяемого с 1 января 2015</w:t>
      </w:r>
      <w:r>
        <w:rPr>
          <w:lang w:val="en-US"/>
        </w:rPr>
        <w:t> </w:t>
      </w:r>
      <w:r w:rsidRPr="003676DF">
        <w:t>года, могут по-прежнему эксплуатироваться до проведения их первой промежуточной или периодической проверки после 31 декабря 2015 года.".  После этой даты их эксплуатация будет осуществляться только с согласия ко</w:t>
      </w:r>
      <w:r w:rsidRPr="003676DF">
        <w:t>м</w:t>
      </w:r>
      <w:r w:rsidRPr="003676DF">
        <w:t>петентного органа страны использования.</w:t>
      </w:r>
    </w:p>
    <w:p w:rsidR="00040358" w:rsidRPr="003676DF" w:rsidRDefault="00040358" w:rsidP="00040358">
      <w:pPr>
        <w:pStyle w:val="H23GR"/>
      </w:pPr>
      <w:r w:rsidRPr="003676DF">
        <w:tab/>
        <w:t>5.</w:t>
      </w:r>
      <w:r w:rsidRPr="003676DF">
        <w:tab/>
        <w:t>Стр. 11, поправка – часть 1, глава 1.8, пункт 1.8.6.8:</w:t>
      </w:r>
    </w:p>
    <w:p w:rsidR="00040358" w:rsidRPr="003676DF" w:rsidRDefault="00040358" w:rsidP="00040358">
      <w:pPr>
        <w:pStyle w:val="SingleTxtGR"/>
        <w:rPr>
          <w:iCs/>
        </w:rPr>
      </w:pPr>
      <w:r w:rsidRPr="003676DF">
        <w:t>(Данная поправка к тексту на французском языке не касается текста на русском языке.)</w:t>
      </w:r>
    </w:p>
    <w:p w:rsidR="00040358" w:rsidRPr="003676DF" w:rsidRDefault="00040358" w:rsidP="00040358">
      <w:pPr>
        <w:pStyle w:val="H23GR"/>
      </w:pPr>
      <w:r w:rsidRPr="003676DF">
        <w:tab/>
        <w:t>6.</w:t>
      </w:r>
      <w:r w:rsidRPr="003676DF">
        <w:tab/>
        <w:t>Стр. 25, поправка – часть 3, глава 3.2, Таблица A, № ООН 1408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 xml:space="preserve">"AP4 AP5" </w:t>
      </w:r>
      <w:r w:rsidRPr="003676DF">
        <w:rPr>
          <w:i/>
        </w:rPr>
        <w:t>на</w:t>
      </w:r>
      <w:r w:rsidRPr="003676DF">
        <w:t xml:space="preserve"> "AP3 AP4 AP5".</w:t>
      </w:r>
    </w:p>
    <w:p w:rsidR="00040358" w:rsidRPr="003676DF" w:rsidRDefault="00040358" w:rsidP="00040358">
      <w:pPr>
        <w:pStyle w:val="H23GR"/>
      </w:pPr>
      <w:r w:rsidRPr="003676DF">
        <w:tab/>
        <w:t>7.</w:t>
      </w:r>
      <w:r w:rsidRPr="003676DF">
        <w:tab/>
        <w:t>Стр. 26, поправки – часть 3, глава 3.2, Таблица A, № ООН 3170 (группа</w:t>
      </w:r>
      <w:r>
        <w:rPr>
          <w:lang w:val="en-US"/>
        </w:rPr>
        <w:t> </w:t>
      </w:r>
      <w:r w:rsidRPr="003676DF">
        <w:t>упаковки II) и № ООН 3170 (группа упаковки III)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 xml:space="preserve">"AP4 AP5" </w:t>
      </w:r>
      <w:r w:rsidRPr="003676DF">
        <w:rPr>
          <w:i/>
        </w:rPr>
        <w:t>на</w:t>
      </w:r>
      <w:r w:rsidRPr="003676DF">
        <w:t xml:space="preserve"> "AP2".</w:t>
      </w:r>
    </w:p>
    <w:p w:rsidR="00040358" w:rsidRPr="003676DF" w:rsidRDefault="00040358" w:rsidP="00040358">
      <w:pPr>
        <w:pStyle w:val="H23GR"/>
      </w:pPr>
      <w:r w:rsidRPr="003676DF">
        <w:tab/>
        <w:t>8.</w:t>
      </w:r>
      <w:r w:rsidRPr="003676DF">
        <w:tab/>
        <w:t>Стр. 32, поправка – часть 3, глава 3.3, СП 594: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>существующий текст следующим:</w:t>
      </w:r>
    </w:p>
    <w:p w:rsidR="00040358" w:rsidRPr="003676DF" w:rsidRDefault="00040358" w:rsidP="00040358">
      <w:pPr>
        <w:pStyle w:val="SingleTxtGR"/>
      </w:pPr>
      <w:r w:rsidRPr="003676DF">
        <w:t>СП 594</w:t>
      </w:r>
      <w:r w:rsidRPr="003676DF">
        <w:tab/>
        <w:t>Изменить следующим образом:</w:t>
      </w:r>
    </w:p>
    <w:p w:rsidR="00040358" w:rsidRPr="003676DF" w:rsidRDefault="00040358" w:rsidP="00040358">
      <w:pPr>
        <w:pStyle w:val="SingleTxtGR"/>
      </w:pPr>
      <w:r w:rsidRPr="003676DF">
        <w:t>"594</w:t>
      </w:r>
      <w:r w:rsidRPr="003676DF">
        <w:tab/>
        <w:t>Перечисленные ниже изделия, изготовленные и заполненные в соответс</w:t>
      </w:r>
      <w:r w:rsidRPr="003676DF">
        <w:t>т</w:t>
      </w:r>
      <w:r w:rsidRPr="003676DF">
        <w:t>вии с положениями, применяемыми в стране изготовления, не подпадают под действие требований ДОПОГ:</w:t>
      </w:r>
    </w:p>
    <w:p w:rsidR="00040358" w:rsidRPr="003676DF" w:rsidRDefault="00040358" w:rsidP="00040358">
      <w:pPr>
        <w:pStyle w:val="SingleTxtGR"/>
      </w:pPr>
      <w:r w:rsidRPr="003676DF">
        <w:t>а)</w:t>
      </w:r>
      <w:r w:rsidRPr="003676DF">
        <w:tab/>
        <w:t>№ ООН 1044 огнетушители, обеспеченные защитой от самопроизвольн</w:t>
      </w:r>
      <w:r w:rsidRPr="003676DF">
        <w:t>о</w:t>
      </w:r>
      <w:r w:rsidRPr="003676DF">
        <w:t>го срабатывания, при условии, что:</w:t>
      </w:r>
    </w:p>
    <w:p w:rsidR="00040358" w:rsidRPr="003676DF" w:rsidRDefault="00040358" w:rsidP="00040358">
      <w:pPr>
        <w:pStyle w:val="SingleTxtGR"/>
      </w:pPr>
      <w:r w:rsidRPr="002C57CB">
        <w:t>−</w:t>
      </w:r>
      <w:r w:rsidRPr="003676DF">
        <w:tab/>
        <w:t>они упакованы в прочную наружную тару или</w:t>
      </w:r>
    </w:p>
    <w:p w:rsidR="00040358" w:rsidRPr="003676DF" w:rsidRDefault="00040358" w:rsidP="00040358">
      <w:pPr>
        <w:pStyle w:val="SingleTxtGR"/>
      </w:pPr>
      <w:r w:rsidRPr="002C57CB">
        <w:t>−</w:t>
      </w:r>
      <w:r w:rsidRPr="003676DF">
        <w:tab/>
        <w:t>они являются крупногабаритными огнетушителями, соответствующими требованиям специального положения по упаковке РР91 инструкции по упако</w:t>
      </w:r>
      <w:r w:rsidRPr="003676DF">
        <w:t>в</w:t>
      </w:r>
      <w:r w:rsidRPr="003676DF">
        <w:t>ке Р003, содержащейся в подразделе 4.1.4.1;</w:t>
      </w:r>
    </w:p>
    <w:p w:rsidR="00040358" w:rsidRPr="003676DF" w:rsidRDefault="00040358" w:rsidP="00040358">
      <w:pPr>
        <w:pStyle w:val="SingleTxtGR"/>
      </w:pPr>
      <w:r w:rsidRPr="003676DF">
        <w:t>b)</w:t>
      </w:r>
      <w:r w:rsidRPr="003676DF">
        <w:tab/>
        <w:t>№ ООН 3164 изделия под пневматическим или гидравлическим давлен</w:t>
      </w:r>
      <w:r w:rsidRPr="003676DF">
        <w:t>и</w:t>
      </w:r>
      <w:r w:rsidRPr="003676DF">
        <w:t>ем, сконструированные таким образом, чтобы выдерживать нагрузку, прев</w:t>
      </w:r>
      <w:r w:rsidRPr="003676DF">
        <w:t>ы</w:t>
      </w:r>
      <w:r w:rsidRPr="003676DF">
        <w:t>шающую внутреннее давление газа благодаря передаче сил, внутренне прис</w:t>
      </w:r>
      <w:r w:rsidRPr="003676DF">
        <w:t>у</w:t>
      </w:r>
      <w:r w:rsidRPr="003676DF">
        <w:t>щей им прочности или их конструктивным особенностям, при условии, что они упакованы в прочную наружную тару.</w:t>
      </w:r>
    </w:p>
    <w:p w:rsidR="00040358" w:rsidRPr="003676DF" w:rsidRDefault="00040358" w:rsidP="00040358">
      <w:pPr>
        <w:pStyle w:val="SingleTxtGR"/>
        <w:rPr>
          <w:i/>
        </w:rPr>
      </w:pPr>
      <w:r w:rsidRPr="003676DF">
        <w:rPr>
          <w:b/>
          <w:i/>
        </w:rPr>
        <w:t>ПРИМЕЧАНИЕ:</w:t>
      </w:r>
      <w:r w:rsidRPr="002C57CB">
        <w:rPr>
          <w:i/>
        </w:rPr>
        <w:t xml:space="preserve"> </w:t>
      </w:r>
      <w:r w:rsidRPr="003676DF">
        <w:rPr>
          <w:i/>
        </w:rPr>
        <w:t>"Положения, применяемые в стране изготовления" означает положения, применимые в стране изготовления, или положения, применимые в стране использования".</w:t>
      </w:r>
    </w:p>
    <w:p w:rsidR="00040358" w:rsidRPr="003676DF" w:rsidRDefault="00040358" w:rsidP="00040358">
      <w:pPr>
        <w:pStyle w:val="H23GR"/>
      </w:pPr>
      <w:r w:rsidRPr="003676DF">
        <w:tab/>
        <w:t>9.</w:t>
      </w:r>
      <w:r w:rsidRPr="003676DF">
        <w:tab/>
        <w:t xml:space="preserve">Стр. 38, поправки </w:t>
      </w:r>
      <w:r w:rsidRPr="002C57CB">
        <w:t>−</w:t>
      </w:r>
      <w:r w:rsidRPr="003676DF">
        <w:t xml:space="preserve"> часть 3, глава 3.3, новое специальное положение СП</w:t>
      </w:r>
      <w:r w:rsidR="008B0E8E">
        <w:t> </w:t>
      </w:r>
      <w:r w:rsidRPr="003676DF">
        <w:t>663 после третьего начинающегося с тире подпункта в разделе "Сфера</w:t>
      </w:r>
      <w:r w:rsidR="008B0E8E">
        <w:t> </w:t>
      </w:r>
      <w:r w:rsidRPr="003676DF">
        <w:t>охвата"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>Включить следующее:</w:t>
      </w:r>
      <w:r w:rsidRPr="003676DF">
        <w:t xml:space="preserve"> </w:t>
      </w:r>
    </w:p>
    <w:p w:rsidR="00040358" w:rsidRPr="003676DF" w:rsidRDefault="00040358" w:rsidP="00040358">
      <w:pPr>
        <w:pStyle w:val="SingleTxtGR"/>
      </w:pPr>
      <w:r>
        <w:t>"</w:t>
      </w:r>
      <w:r w:rsidR="008B0E8E">
        <w:t>−</w:t>
      </w:r>
      <w:r w:rsidR="008B0E8E">
        <w:tab/>
      </w:r>
      <w:r w:rsidRPr="003676DF">
        <w:t>радиоактивные материалы; или".</w:t>
      </w:r>
    </w:p>
    <w:p w:rsidR="00040358" w:rsidRPr="003676DF" w:rsidRDefault="00040358" w:rsidP="00040358">
      <w:pPr>
        <w:pStyle w:val="H23GR"/>
      </w:pPr>
      <w:r w:rsidRPr="003676DF">
        <w:lastRenderedPageBreak/>
        <w:tab/>
        <w:t>10.</w:t>
      </w:r>
      <w:r w:rsidRPr="003676DF">
        <w:tab/>
        <w:t>Стр. 39, поправка – часть 3, глава 3.3, новое специальное положение СП</w:t>
      </w:r>
      <w:r w:rsidR="008B0E8E">
        <w:t> </w:t>
      </w:r>
      <w:r w:rsidRPr="003676DF">
        <w:t>664, в начале, во втором начинающемся с тире подпункте в разделе "Устройства для добавления присадок:"</w:t>
      </w:r>
    </w:p>
    <w:p w:rsidR="00040358" w:rsidRPr="003676DF" w:rsidRDefault="00040358" w:rsidP="00040358">
      <w:pPr>
        <w:pStyle w:val="SingleTxtGR"/>
      </w:pPr>
      <w:r w:rsidRPr="003676DF">
        <w:t>(Данная поправка к тексту на английском языке не касается текста на русском языке.)</w:t>
      </w:r>
    </w:p>
    <w:p w:rsidR="00040358" w:rsidRPr="003676DF" w:rsidRDefault="00040358" w:rsidP="00040358">
      <w:pPr>
        <w:pStyle w:val="H23GR"/>
      </w:pPr>
      <w:r w:rsidRPr="003676DF">
        <w:tab/>
        <w:t>11.</w:t>
      </w:r>
      <w:r w:rsidRPr="003676DF">
        <w:tab/>
        <w:t>Стр. 46, поправки – часть 4, глава 4.1, раздел 4.1.4.1, инструкция по упаковке Р200, новый пункт (13), пункт 1.3, после третьего нач</w:t>
      </w:r>
      <w:r w:rsidRPr="003676DF">
        <w:t>и</w:t>
      </w:r>
      <w:r w:rsidRPr="003676DF">
        <w:t xml:space="preserve">нающегося с тире подпункта: 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>Включить следующее:</w:t>
      </w:r>
      <w:r w:rsidRPr="003676DF">
        <w:t xml:space="preserve"> </w:t>
      </w:r>
    </w:p>
    <w:p w:rsidR="00040358" w:rsidRPr="003676DF" w:rsidRDefault="00040358" w:rsidP="00040358">
      <w:pPr>
        <w:pStyle w:val="SingleTxtGR"/>
      </w:pPr>
      <w:r w:rsidRPr="003676DF">
        <w:t>"–</w:t>
      </w:r>
      <w:r w:rsidRPr="003676DF">
        <w:tab/>
        <w:t>EN ISO 7866; или".</w:t>
      </w:r>
    </w:p>
    <w:p w:rsidR="00040358" w:rsidRPr="003676DF" w:rsidRDefault="00040358" w:rsidP="00040358">
      <w:pPr>
        <w:pStyle w:val="H23GR"/>
      </w:pPr>
      <w:r w:rsidRPr="003676DF">
        <w:tab/>
        <w:t>12.</w:t>
      </w:r>
      <w:r w:rsidRPr="003676DF">
        <w:tab/>
        <w:t>Стр. 50, поправка – часть 4, глава 4.1, раздел 4.1.4.1, инструкция по упаковке Р203</w:t>
      </w:r>
    </w:p>
    <w:p w:rsidR="00040358" w:rsidRPr="003676DF" w:rsidRDefault="00040358" w:rsidP="00040358">
      <w:pPr>
        <w:pStyle w:val="SingleTxtGR"/>
      </w:pPr>
      <w:r w:rsidRPr="003676DF">
        <w:t xml:space="preserve">(Данная поправка к тексту на английском языке не касается текста на русском языке.) </w:t>
      </w:r>
    </w:p>
    <w:p w:rsidR="00040358" w:rsidRPr="003676DF" w:rsidRDefault="00040358" w:rsidP="00040358">
      <w:pPr>
        <w:pStyle w:val="H23GR"/>
      </w:pPr>
      <w:r w:rsidRPr="003676DF">
        <w:tab/>
        <w:t>13.</w:t>
      </w:r>
      <w:r w:rsidRPr="003676DF">
        <w:tab/>
        <w:t>Стр. 74, поправка – часть 5, глава 5.5, новый пункт 5.5.3.1.5, последнее предложение: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Исключить. </w:t>
      </w:r>
    </w:p>
    <w:p w:rsidR="00040358" w:rsidRPr="003676DF" w:rsidRDefault="00040358" w:rsidP="00040358">
      <w:pPr>
        <w:pStyle w:val="H23GR"/>
      </w:pPr>
      <w:r w:rsidRPr="003676DF">
        <w:tab/>
        <w:t>14.</w:t>
      </w:r>
      <w:r w:rsidRPr="003676DF">
        <w:tab/>
        <w:t>Стр. 77, последняя поправка – часть 6, глава 6.2, пункт 6.2.2.1.1: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>существующий текст следующим:</w:t>
      </w:r>
    </w:p>
    <w:p w:rsidR="00040358" w:rsidRPr="003676DF" w:rsidRDefault="00040358" w:rsidP="00040358">
      <w:pPr>
        <w:pStyle w:val="SingleTxtGR"/>
      </w:pPr>
      <w:r w:rsidRPr="003676DF">
        <w:t>Для стандарта "ISO 7866:1999" в колонке "Применяется в отношении изгото</w:t>
      </w:r>
      <w:r w:rsidRPr="003676DF">
        <w:t>в</w:t>
      </w:r>
      <w:r w:rsidRPr="003676DF">
        <w:t>ления", добавить "До 31 декабря 2020 года</w:t>
      </w:r>
      <w:r w:rsidR="008B0E8E">
        <w:t>"</w:t>
      </w:r>
      <w:r w:rsidRPr="003676DF">
        <w:t>, а для всех других стандартов в к</w:t>
      </w:r>
      <w:r w:rsidRPr="003676DF">
        <w:t>о</w:t>
      </w:r>
      <w:r w:rsidRPr="003676DF">
        <w:t>лонке "Применяется в отношении изготовления" добавить "До дальнейшего указания".</w:t>
      </w:r>
    </w:p>
    <w:p w:rsidR="00040358" w:rsidRPr="003676DF" w:rsidRDefault="00040358" w:rsidP="00040358">
      <w:pPr>
        <w:pStyle w:val="H23GR"/>
      </w:pPr>
      <w:r w:rsidRPr="003676DF">
        <w:tab/>
        <w:t>15.</w:t>
      </w:r>
      <w:r w:rsidRPr="003676DF">
        <w:tab/>
        <w:t>Поправки – часть 6, глава 6.2, 6.2.2.10, 6.2.2.11, 6.2.3.6.1, 6.2.4.1 и 6.2.4.2 текста на французском языке</w:t>
      </w:r>
    </w:p>
    <w:p w:rsidR="00040358" w:rsidRPr="003676DF" w:rsidRDefault="00040358" w:rsidP="00040358">
      <w:pPr>
        <w:pStyle w:val="SingleTxtGR"/>
        <w:rPr>
          <w:iCs/>
        </w:rPr>
      </w:pPr>
      <w:r w:rsidRPr="003676DF">
        <w:t>(Данная поправка к тексту на французском языке не касается текста на русском языке.)</w:t>
      </w:r>
    </w:p>
    <w:p w:rsidR="00040358" w:rsidRPr="003676DF" w:rsidRDefault="00040358" w:rsidP="00040358">
      <w:pPr>
        <w:pStyle w:val="H23GR"/>
      </w:pPr>
      <w:r w:rsidRPr="003676DF">
        <w:tab/>
        <w:t>16.</w:t>
      </w:r>
      <w:r w:rsidRPr="003676DF">
        <w:tab/>
        <w:t>Стр. 81, поправка – часть 6, глава 6.2, раздел 6.2.3.9.7: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>существующий текст следующим:</w:t>
      </w:r>
    </w:p>
    <w:p w:rsidR="00040358" w:rsidRPr="003676DF" w:rsidRDefault="00040358" w:rsidP="00040358">
      <w:pPr>
        <w:pStyle w:val="SingleTxtGR"/>
      </w:pPr>
      <w:r w:rsidRPr="003676DF">
        <w:t>6.2.3.9.7</w:t>
      </w:r>
      <w:r w:rsidRPr="003676DF">
        <w:tab/>
        <w:t>Изменить следующим образом:</w:t>
      </w:r>
    </w:p>
    <w:p w:rsidR="00040358" w:rsidRPr="003676DF" w:rsidRDefault="00040358" w:rsidP="00040358">
      <w:pPr>
        <w:pStyle w:val="SingleTxtGR"/>
      </w:pPr>
      <w:r w:rsidRPr="003676DF">
        <w:t>"6.2.3.9.7</w:t>
      </w:r>
      <w:r w:rsidRPr="003676DF">
        <w:tab/>
        <w:t>Маркировка связок баллонов</w:t>
      </w:r>
    </w:p>
    <w:p w:rsidR="00040358" w:rsidRPr="003676DF" w:rsidRDefault="00040358" w:rsidP="00040358">
      <w:pPr>
        <w:pStyle w:val="SingleTxtGR"/>
      </w:pPr>
      <w:r w:rsidRPr="003676DF">
        <w:t>6.2.3.9.7.1</w:t>
      </w:r>
      <w:r w:rsidRPr="003676DF">
        <w:tab/>
        <w:t>Отдельные баллоны в связке баллонов должны маркироваться в с</w:t>
      </w:r>
      <w:r w:rsidRPr="003676DF">
        <w:t>о</w:t>
      </w:r>
      <w:r w:rsidRPr="003676DF">
        <w:t>ответствии с пунктами 6.2.3.9.1−6.2.3.9.6.</w:t>
      </w:r>
    </w:p>
    <w:p w:rsidR="00040358" w:rsidRPr="003676DF" w:rsidRDefault="00040358" w:rsidP="00040358">
      <w:pPr>
        <w:pStyle w:val="SingleTxtGR"/>
      </w:pPr>
      <w:r w:rsidRPr="003676DF">
        <w:t>6.2.3.9.7.2</w:t>
      </w:r>
      <w:r w:rsidRPr="003676DF">
        <w:tab/>
        <w:t>Маркировка связок баллонов должна соответствовать положениям пунктов 6.2.2.10.2 и 6.2.2.10.3, за исключением того, что не должен наноситься символ Организации Объединенных Наций для тары, указанный в пун</w:t>
      </w:r>
      <w:r w:rsidRPr="003676DF">
        <w:t>к</w:t>
      </w:r>
      <w:r w:rsidRPr="003676DF">
        <w:t>те</w:t>
      </w:r>
      <w:r w:rsidR="008B0E8E">
        <w:t> </w:t>
      </w:r>
      <w:r w:rsidRPr="003676DF">
        <w:t>6.2.2.7.2 a).</w:t>
      </w:r>
    </w:p>
    <w:p w:rsidR="00040358" w:rsidRPr="003676DF" w:rsidRDefault="00040358" w:rsidP="00040358">
      <w:pPr>
        <w:pStyle w:val="SingleTxtGR"/>
      </w:pPr>
      <w:r w:rsidRPr="003676DF">
        <w:t>6.2.3.9.7.3</w:t>
      </w:r>
      <w:r w:rsidRPr="003676DF">
        <w:tab/>
        <w:t>Наряду с вышеупомянутыми маркировочными знаками на каждой связке баллонов, удовлетворяющей требованиям подраздела 6.2.4.2 в отнош</w:t>
      </w:r>
      <w:r w:rsidRPr="003676DF">
        <w:t>е</w:t>
      </w:r>
      <w:r w:rsidRPr="003676DF">
        <w:lastRenderedPageBreak/>
        <w:t>нии периодических проверок и испытаний, должны проставляться знаки, ук</w:t>
      </w:r>
      <w:r w:rsidRPr="003676DF">
        <w:t>а</w:t>
      </w:r>
      <w:r w:rsidRPr="003676DF">
        <w:t>зывающие:</w:t>
      </w:r>
    </w:p>
    <w:p w:rsidR="00040358" w:rsidRPr="003676DF" w:rsidRDefault="00040358" w:rsidP="00040358">
      <w:pPr>
        <w:pStyle w:val="SingleTxtGR"/>
      </w:pPr>
      <w:r w:rsidRPr="003676DF">
        <w:tab/>
      </w:r>
      <w:r w:rsidRPr="003676DF">
        <w:tab/>
        <w:t>a)</w:t>
      </w:r>
      <w:r w:rsidRPr="003676DF">
        <w:tab/>
        <w:t>букву(ы), обозначающую(ие) страну, утвердившую орган, осуществляющий периодические проверки и испытания, в виде отличительного знака автомобилей, находящихся в международном движении</w:t>
      </w:r>
      <w:r w:rsidRPr="003676DF">
        <w:rPr>
          <w:vertAlign w:val="superscript"/>
        </w:rPr>
        <w:t>3</w:t>
      </w:r>
      <w:r w:rsidRPr="003676DF">
        <w:t>. Эта маркировка не требуется, если данный орган утвержден компетентным органом страны, у</w:t>
      </w:r>
      <w:r w:rsidRPr="003676DF">
        <w:t>т</w:t>
      </w:r>
      <w:r w:rsidRPr="003676DF">
        <w:t>вердившей изготовление связки баллонов;</w:t>
      </w:r>
    </w:p>
    <w:p w:rsidR="00040358" w:rsidRPr="003676DF" w:rsidRDefault="00040358" w:rsidP="00040358">
      <w:pPr>
        <w:pStyle w:val="SingleTxtGR"/>
      </w:pPr>
      <w:r w:rsidRPr="003676DF">
        <w:tab/>
      </w:r>
      <w:r w:rsidRPr="003676DF">
        <w:tab/>
        <w:t>b)</w:t>
      </w:r>
      <w:r w:rsidRPr="003676DF">
        <w:tab/>
        <w:t>регистрационный знак органа, уполномоченного компетен</w:t>
      </w:r>
      <w:r w:rsidRPr="003676DF">
        <w:t>т</w:t>
      </w:r>
      <w:r w:rsidRPr="003676DF">
        <w:t>ным органом на проведение периодических проверок и испытаний;</w:t>
      </w:r>
    </w:p>
    <w:p w:rsidR="00040358" w:rsidRPr="003676DF" w:rsidRDefault="00040358" w:rsidP="00040358">
      <w:pPr>
        <w:pStyle w:val="SingleTxtGR"/>
        <w:rPr>
          <w:bCs/>
        </w:rPr>
      </w:pPr>
      <w:r w:rsidRPr="003676DF">
        <w:tab/>
      </w:r>
      <w:r w:rsidRPr="003676DF">
        <w:tab/>
        <w:t>c)</w:t>
      </w:r>
      <w:r w:rsidRPr="003676DF">
        <w:tab/>
        <w:t>дату периодической проверки и испытания − год (две ци</w:t>
      </w:r>
      <w:r w:rsidRPr="003676DF">
        <w:t>ф</w:t>
      </w:r>
      <w:r w:rsidRPr="003676DF">
        <w:t>ры), затем месяц (две цифры), разделенные косой чертой (т.е. "/"). Для указания года могут использоваться четыре цифры.</w:t>
      </w:r>
    </w:p>
    <w:p w:rsidR="00040358" w:rsidRPr="003676DF" w:rsidRDefault="00040358" w:rsidP="00040358">
      <w:pPr>
        <w:pStyle w:val="SingleTxtGR"/>
        <w:rPr>
          <w:bCs/>
        </w:rPr>
      </w:pPr>
      <w:r w:rsidRPr="003676DF">
        <w:tab/>
      </w:r>
      <w:r w:rsidRPr="003676DF">
        <w:tab/>
        <w:t>Вышеупомянутые маркировочные знаки должны быть проставлены последовательно в указанном порядке либо на табличке, указанной в пун</w:t>
      </w:r>
      <w:r w:rsidRPr="003676DF">
        <w:t>к</w:t>
      </w:r>
      <w:r w:rsidRPr="003676DF">
        <w:t>те</w:t>
      </w:r>
      <w:r>
        <w:rPr>
          <w:lang w:val="en-US"/>
        </w:rPr>
        <w:t> </w:t>
      </w:r>
      <w:r w:rsidRPr="003676DF">
        <w:t>6.2.2.10.2, либо на отдельной табличке, прочно прикрепленной к раме связки баллонов".</w:t>
      </w:r>
    </w:p>
    <w:p w:rsidR="00040358" w:rsidRPr="003676DF" w:rsidRDefault="00040358" w:rsidP="00040358">
      <w:pPr>
        <w:pStyle w:val="SingleTxtGR"/>
        <w:rPr>
          <w:bCs/>
        </w:rPr>
      </w:pPr>
      <w:r w:rsidRPr="003676DF">
        <w:t>Текст сноски должен гласить следующее: "</w:t>
      </w:r>
      <w:r w:rsidRPr="002C57CB">
        <w:rPr>
          <w:vertAlign w:val="superscript"/>
        </w:rPr>
        <w:t>3</w:t>
      </w:r>
      <w:r w:rsidR="00C57C66">
        <w:t xml:space="preserve">  </w:t>
      </w:r>
      <w:r w:rsidRPr="003676DF">
        <w:t>Отличительный знак автом</w:t>
      </w:r>
      <w:r w:rsidRPr="003676DF">
        <w:t>о</w:t>
      </w:r>
      <w:r w:rsidRPr="003676DF">
        <w:t>билей, находящихся в международном дв</w:t>
      </w:r>
      <w:r w:rsidR="00C57C66">
        <w:t>и</w:t>
      </w:r>
      <w:r w:rsidRPr="003676DF">
        <w:t>жении, предписанный Венской ко</w:t>
      </w:r>
      <w:r w:rsidRPr="003676DF">
        <w:t>н</w:t>
      </w:r>
      <w:r w:rsidRPr="003676DF">
        <w:t>венцией о дорожном движении (1968 года)".</w:t>
      </w:r>
    </w:p>
    <w:p w:rsidR="00040358" w:rsidRPr="003676DF" w:rsidRDefault="00040358" w:rsidP="00040358">
      <w:pPr>
        <w:pStyle w:val="H23GR"/>
      </w:pPr>
      <w:r w:rsidRPr="003676DF">
        <w:tab/>
        <w:t>17.</w:t>
      </w:r>
      <w:r w:rsidRPr="003676DF">
        <w:tab/>
        <w:t>Стр. 81, поправка – часть 6, глава 6.2, раздел 6.2.4.1, новое пр</w:t>
      </w:r>
      <w:r w:rsidRPr="003676DF">
        <w:t>и</w:t>
      </w:r>
      <w:r w:rsidRPr="003676DF">
        <w:t>мечание для стандарта "EN ISO 3807:2013" в колонке 2 после названия стандарта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>Включить следующее:</w:t>
      </w:r>
      <w:r w:rsidRPr="003676DF">
        <w:t xml:space="preserve"> </w:t>
      </w:r>
    </w:p>
    <w:p w:rsidR="00040358" w:rsidRPr="003676DF" w:rsidRDefault="00040358" w:rsidP="00040358">
      <w:pPr>
        <w:pStyle w:val="SingleTxtGR"/>
        <w:rPr>
          <w:i/>
        </w:rPr>
      </w:pPr>
      <w:r w:rsidRPr="003676DF">
        <w:rPr>
          <w:b/>
          <w:i/>
        </w:rPr>
        <w:t>ПРИМЕЧАНИЕ:</w:t>
      </w:r>
      <w:r w:rsidRPr="003676DF">
        <w:rPr>
          <w:i/>
        </w:rPr>
        <w:tab/>
        <w:t>Плавкие предохранительные вставки не устанавливаются.</w:t>
      </w:r>
    </w:p>
    <w:p w:rsidR="00040358" w:rsidRPr="003676DF" w:rsidRDefault="00040358" w:rsidP="00040358">
      <w:pPr>
        <w:pStyle w:val="H23GR"/>
      </w:pPr>
      <w:r w:rsidRPr="003676DF">
        <w:tab/>
        <w:t>18.</w:t>
      </w:r>
      <w:r w:rsidRPr="003676DF">
        <w:tab/>
        <w:t>Стр. 82, перед поправкой к части 6, главе 6.2, разделу 6.2.4.1, касающейся включения стандарта "EN ISO 11120:1999 + A1:2013"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>Включить следующее:</w:t>
      </w:r>
      <w:r w:rsidRPr="003676DF">
        <w:t xml:space="preserve"> </w:t>
      </w:r>
    </w:p>
    <w:p w:rsidR="00040358" w:rsidRPr="003676DF" w:rsidRDefault="00040358" w:rsidP="00040358">
      <w:pPr>
        <w:pStyle w:val="SingleTxtGR"/>
      </w:pPr>
      <w:r w:rsidRPr="002C57CB">
        <w:t>−</w:t>
      </w:r>
      <w:r w:rsidRPr="002C57CB">
        <w:tab/>
      </w:r>
      <w:r w:rsidRPr="003676DF">
        <w:t>В позиции для "EN ISO 11120:1999" в колонке 4 заменить "До дальне</w:t>
      </w:r>
      <w:r w:rsidRPr="003676DF">
        <w:t>й</w:t>
      </w:r>
      <w:r w:rsidRPr="003676DF">
        <w:t xml:space="preserve">шего указания" на "С 1 июля 2001 года до 30 июня 2015 года". </w:t>
      </w:r>
    </w:p>
    <w:p w:rsidR="00040358" w:rsidRPr="003676DF" w:rsidRDefault="00040358" w:rsidP="00040358">
      <w:pPr>
        <w:pStyle w:val="SingleTxtGR"/>
      </w:pPr>
      <w:r w:rsidRPr="002C57CB">
        <w:t>−</w:t>
      </w:r>
      <w:r w:rsidRPr="002C57CB">
        <w:tab/>
      </w:r>
      <w:r w:rsidRPr="003676DF">
        <w:t>В позиции для "EN ISO 11120:1999" добавить в колонку 5 новый текст следующего содержания: "31 декабря 2015 года для цилиндров, маркированных буквой "H" в соответствии с пунктом 6.2.2.7.4 p)".</w:t>
      </w:r>
    </w:p>
    <w:p w:rsidR="00040358" w:rsidRPr="003676DF" w:rsidRDefault="00040358" w:rsidP="00040358">
      <w:pPr>
        <w:pStyle w:val="H23GR"/>
      </w:pPr>
      <w:r w:rsidRPr="003676DF">
        <w:tab/>
        <w:t>19.</w:t>
      </w:r>
      <w:r w:rsidRPr="003676DF">
        <w:tab/>
        <w:t>Стр. 86, вторая поправка – часть 6, глава 6.4, 6.4.6.4 (начиная со слов "В</w:t>
      </w:r>
      <w:r>
        <w:rPr>
          <w:lang w:val="en-US"/>
        </w:rPr>
        <w:t> </w:t>
      </w:r>
      <w:r w:rsidRPr="003676DF">
        <w:t>подпунктах a) и b)")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>существующий текст следующим:</w:t>
      </w:r>
    </w:p>
    <w:p w:rsidR="00040358" w:rsidRPr="003676DF" w:rsidRDefault="00040358" w:rsidP="00040358">
      <w:pPr>
        <w:pStyle w:val="SingleTxtGR"/>
      </w:pPr>
      <w:r w:rsidRPr="003676DF">
        <w:t>6.4.6.4</w:t>
      </w:r>
      <w:r w:rsidRPr="003676DF">
        <w:tab/>
        <w:t>В подпунктах a) и b) исключить "упаковки сконструированы".</w:t>
      </w:r>
    </w:p>
    <w:p w:rsidR="00040358" w:rsidRPr="003676DF" w:rsidRDefault="00040358" w:rsidP="00040358">
      <w:pPr>
        <w:pStyle w:val="SingleTxtGR"/>
      </w:pPr>
      <w:r w:rsidRPr="003676DF">
        <w:t>6.4.6.4</w:t>
      </w:r>
      <w:r w:rsidRPr="003676DF">
        <w:tab/>
        <w:t>В подпункте a) добавить в конце "и/или" и в подпункте b) в конце заменить "и" на "и/или".</w:t>
      </w:r>
    </w:p>
    <w:p w:rsidR="00040358" w:rsidRPr="003676DF" w:rsidRDefault="00040358" w:rsidP="00040358">
      <w:pPr>
        <w:pStyle w:val="H23GR"/>
      </w:pPr>
      <w:r w:rsidRPr="003676DF">
        <w:tab/>
        <w:t>20.</w:t>
      </w:r>
      <w:r w:rsidRPr="003676DF">
        <w:tab/>
        <w:t>Стр. 94 и 95, поправки – часть 6, глава 6.5, пункт 6.5.2.2.2, вводная часть перед цифрами: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 xml:space="preserve">"Рис. 6.5.2.2.1" и "Рис. 6.5.2.2.2" </w:t>
      </w:r>
      <w:r w:rsidRPr="003676DF">
        <w:rPr>
          <w:i/>
        </w:rPr>
        <w:t xml:space="preserve">на </w:t>
      </w:r>
      <w:r w:rsidRPr="003676DF">
        <w:t>"Рис. 6.5.2.2.2.1" и соответстве</w:t>
      </w:r>
      <w:r w:rsidRPr="003676DF">
        <w:t>н</w:t>
      </w:r>
      <w:r w:rsidRPr="003676DF">
        <w:t>но "Рис. 6.5.2.2.2.2".</w:t>
      </w:r>
    </w:p>
    <w:p w:rsidR="00040358" w:rsidRPr="003676DF" w:rsidRDefault="00040358" w:rsidP="00040358">
      <w:pPr>
        <w:pStyle w:val="H23GR"/>
      </w:pPr>
      <w:r w:rsidRPr="003676DF">
        <w:lastRenderedPageBreak/>
        <w:tab/>
        <w:t>21.</w:t>
      </w:r>
      <w:r w:rsidRPr="003676DF">
        <w:tab/>
        <w:t>Стр. 98, поправка – часть 6, глава 6.8, пункт 6.8.2.2.3:</w:t>
      </w:r>
    </w:p>
    <w:p w:rsidR="00040358" w:rsidRPr="003676DF" w:rsidRDefault="00040358" w:rsidP="00040358">
      <w:pPr>
        <w:pStyle w:val="SingleTxtGR"/>
        <w:rPr>
          <w:iCs/>
        </w:rPr>
      </w:pPr>
      <w:r w:rsidRPr="003676DF">
        <w:t>(Данная поправка к тексту на французском языке не касается текста на русском языке.)</w:t>
      </w:r>
    </w:p>
    <w:p w:rsidR="00040358" w:rsidRPr="003676DF" w:rsidRDefault="00040358" w:rsidP="00040358">
      <w:pPr>
        <w:pStyle w:val="H23GR"/>
      </w:pPr>
      <w:r w:rsidRPr="003676DF">
        <w:tab/>
        <w:t>22.</w:t>
      </w:r>
      <w:r w:rsidRPr="003676DF">
        <w:tab/>
        <w:t>Поправка – часть 6, глава 6.8, разделы 6.8.2.6.1, 6.8.2.6.2, 6.8.3.6, 6.8.4 ТА4 и</w:t>
      </w:r>
      <w:r>
        <w:rPr>
          <w:lang w:val="en-US"/>
        </w:rPr>
        <w:t> </w:t>
      </w:r>
      <w:r w:rsidRPr="003676DF">
        <w:t>ТТ9</w:t>
      </w:r>
    </w:p>
    <w:p w:rsidR="00040358" w:rsidRPr="003676DF" w:rsidRDefault="00040358" w:rsidP="00040358">
      <w:pPr>
        <w:pStyle w:val="SingleTxtGR"/>
        <w:rPr>
          <w:iCs/>
        </w:rPr>
      </w:pPr>
      <w:r w:rsidRPr="003676DF">
        <w:t>(Данная поправка к тексту на французском языке не касается текста на русском языке.)</w:t>
      </w:r>
    </w:p>
    <w:p w:rsidR="00040358" w:rsidRPr="003676DF" w:rsidRDefault="00040358" w:rsidP="00040358">
      <w:pPr>
        <w:pStyle w:val="H23GR"/>
      </w:pPr>
      <w:r w:rsidRPr="003676DF">
        <w:tab/>
        <w:t>23.</w:t>
      </w:r>
      <w:r w:rsidRPr="003676DF">
        <w:tab/>
        <w:t>Стр. 100 и 101, поправки – часть 7, глава 7.3, пункты 7.3.3.2.1 и 7.3.3.2.7, дополнительное положение AP2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 xml:space="preserve">Заменить </w:t>
      </w:r>
      <w:r w:rsidRPr="003676DF">
        <w:t>существующий текст следующим:</w:t>
      </w:r>
    </w:p>
    <w:p w:rsidR="00040358" w:rsidRPr="003676DF" w:rsidRDefault="00040358" w:rsidP="00040358">
      <w:pPr>
        <w:pStyle w:val="SingleTxtGR"/>
      </w:pPr>
      <w:r w:rsidRPr="003676DF">
        <w:t>"AP2</w:t>
      </w:r>
      <w:r w:rsidRPr="003676DF">
        <w:tab/>
        <w:t>Транспортные средства и контейнеры должны иметь достаточную вент</w:t>
      </w:r>
      <w:r w:rsidRPr="003676DF">
        <w:t>и</w:t>
      </w:r>
      <w:r w:rsidRPr="003676DF">
        <w:t>ляцию".</w:t>
      </w:r>
    </w:p>
    <w:p w:rsidR="00040358" w:rsidRPr="003676DF" w:rsidRDefault="00040358" w:rsidP="00040358">
      <w:pPr>
        <w:pStyle w:val="H23GR"/>
      </w:pPr>
      <w:r w:rsidRPr="003676DF">
        <w:tab/>
        <w:t>24.</w:t>
      </w:r>
      <w:r w:rsidRPr="003676DF">
        <w:tab/>
        <w:t>Стр. 100, поправка – часть 7, глава 7.3, пункт 7.3.3.2.3 перед дополнительным положением AP3</w:t>
      </w:r>
    </w:p>
    <w:p w:rsidR="00040358" w:rsidRPr="003676DF" w:rsidRDefault="00040358" w:rsidP="00040358">
      <w:pPr>
        <w:pStyle w:val="SingleTxtGR"/>
        <w:rPr>
          <w:i/>
        </w:rPr>
      </w:pPr>
      <w:r w:rsidRPr="003676DF">
        <w:rPr>
          <w:i/>
        </w:rPr>
        <w:t>Включить следующее:</w:t>
      </w:r>
    </w:p>
    <w:p w:rsidR="00040358" w:rsidRPr="003676DF" w:rsidRDefault="00040358" w:rsidP="00040358">
      <w:pPr>
        <w:pStyle w:val="SingleTxtGR"/>
      </w:pPr>
      <w:r w:rsidRPr="003676DF">
        <w:t>"AP2</w:t>
      </w:r>
      <w:r w:rsidRPr="003676DF">
        <w:tab/>
        <w:t>Транспортные средства и контейнеры должны иметь достаточную вент</w:t>
      </w:r>
      <w:r w:rsidRPr="003676DF">
        <w:t>и</w:t>
      </w:r>
      <w:r w:rsidRPr="003676DF">
        <w:t>ляцию".</w:t>
      </w:r>
    </w:p>
    <w:p w:rsidR="00040358" w:rsidRPr="003676DF" w:rsidRDefault="00040358" w:rsidP="00040358">
      <w:pPr>
        <w:pStyle w:val="H23GR"/>
      </w:pPr>
      <w:r w:rsidRPr="003676DF">
        <w:tab/>
        <w:t>25.</w:t>
      </w:r>
      <w:r w:rsidRPr="003676DF">
        <w:tab/>
        <w:t>Стр. 104, поправка – часть 9, глава 9.2, пункт 9.2.2.5.1 a)</w:t>
      </w:r>
    </w:p>
    <w:p w:rsidR="00040358" w:rsidRPr="003676DF" w:rsidRDefault="00040358" w:rsidP="00040358">
      <w:pPr>
        <w:pStyle w:val="SingleTxtGR"/>
      </w:pPr>
      <w:r w:rsidRPr="003676DF">
        <w:rPr>
          <w:i/>
        </w:rPr>
        <w:t>Исключить</w:t>
      </w:r>
      <w:r w:rsidRPr="003676DF">
        <w:t xml:space="preserve"> и соответствующим образом изменить нумерацию сносок в гл</w:t>
      </w:r>
      <w:r w:rsidRPr="003676DF">
        <w:t>а</w:t>
      </w:r>
      <w:r w:rsidRPr="003676DF">
        <w:t>ве</w:t>
      </w:r>
      <w:r>
        <w:rPr>
          <w:lang w:val="en-US"/>
        </w:rPr>
        <w:t> </w:t>
      </w:r>
      <w:r w:rsidRPr="003676DF">
        <w:t>9.2.</w:t>
      </w:r>
    </w:p>
    <w:p w:rsidR="00040358" w:rsidRPr="00040358" w:rsidRDefault="00040358" w:rsidP="0004035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0358" w:rsidRPr="00040358" w:rsidSect="00FB18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32" w:rsidRDefault="00626D32">
      <w:r>
        <w:rPr>
          <w:lang w:val="en-US"/>
        </w:rPr>
        <w:tab/>
      </w:r>
      <w:r>
        <w:separator/>
      </w:r>
    </w:p>
  </w:endnote>
  <w:endnote w:type="continuationSeparator" w:id="0">
    <w:p w:rsidR="00626D32" w:rsidRDefault="0062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16" w:rsidRPr="009A6F4A" w:rsidRDefault="00510516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96D92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GE.14-03788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16" w:rsidRPr="009A6F4A" w:rsidRDefault="00510516">
    <w:pPr>
      <w:pStyle w:val="ac"/>
      <w:rPr>
        <w:lang w:val="en-US"/>
      </w:rPr>
    </w:pPr>
    <w:r>
      <w:rPr>
        <w:lang w:val="en-US"/>
      </w:rPr>
      <w:t>GE.14-03788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96D92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941"/>
      <w:gridCol w:w="4648"/>
      <w:gridCol w:w="1266"/>
    </w:tblGrid>
    <w:tr w:rsidR="00510516" w:rsidTr="001F4421">
      <w:trPr>
        <w:trHeight w:val="438"/>
      </w:trPr>
      <w:tc>
        <w:tcPr>
          <w:tcW w:w="4068" w:type="dxa"/>
          <w:shd w:val="clear" w:color="auto" w:fill="auto"/>
          <w:vAlign w:val="bottom"/>
        </w:tcPr>
        <w:p w:rsidR="00510516" w:rsidRDefault="00510516" w:rsidP="00296D2C">
          <w:r w:rsidRPr="001F4421">
            <w:rPr>
              <w:lang w:val="en-US"/>
            </w:rPr>
            <w:t>GE.14-03788  (R)  220714  230714</w:t>
          </w:r>
        </w:p>
      </w:tc>
      <w:tc>
        <w:tcPr>
          <w:tcW w:w="4663" w:type="dxa"/>
          <w:vMerge w:val="restart"/>
          <w:shd w:val="clear" w:color="auto" w:fill="auto"/>
          <w:vAlign w:val="bottom"/>
        </w:tcPr>
        <w:p w:rsidR="00510516" w:rsidRDefault="00696D92" w:rsidP="001F4421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>
                <wp:extent cx="2705100" cy="228600"/>
                <wp:effectExtent l="19050" t="0" r="0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shd w:val="clear" w:color="auto" w:fill="auto"/>
          <w:vAlign w:val="bottom"/>
        </w:tcPr>
        <w:p w:rsidR="00510516" w:rsidRDefault="00696D92" w:rsidP="001F4421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638175" cy="638175"/>
                <wp:effectExtent l="19050" t="0" r="9525" b="0"/>
                <wp:docPr id="3" name="Рисунок 3" descr="Co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0516" w:rsidRPr="001F4421" w:rsidTr="001F4421">
      <w:tc>
        <w:tcPr>
          <w:tcW w:w="4068" w:type="dxa"/>
          <w:shd w:val="clear" w:color="auto" w:fill="auto"/>
          <w:vAlign w:val="bottom"/>
        </w:tcPr>
        <w:p w:rsidR="00510516" w:rsidRPr="001F4421" w:rsidRDefault="00510516" w:rsidP="001F442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F44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510516" w:rsidRDefault="00510516" w:rsidP="00296D2C"/>
      </w:tc>
      <w:tc>
        <w:tcPr>
          <w:tcW w:w="1124" w:type="dxa"/>
          <w:vMerge/>
          <w:shd w:val="clear" w:color="auto" w:fill="auto"/>
        </w:tcPr>
        <w:p w:rsidR="00510516" w:rsidRDefault="00510516" w:rsidP="00296D2C"/>
      </w:tc>
    </w:tr>
  </w:tbl>
  <w:p w:rsidR="00510516" w:rsidRDefault="00510516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32" w:rsidRPr="00F71F63" w:rsidRDefault="00626D3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26D32" w:rsidRPr="00F71F63" w:rsidRDefault="00626D3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26D32" w:rsidRPr="00635E86" w:rsidRDefault="00626D32" w:rsidP="00635E86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16" w:rsidRPr="00E71A0F" w:rsidRDefault="00510516">
    <w:pPr>
      <w:pStyle w:val="a9"/>
      <w:rPr>
        <w:lang w:val="en-US"/>
      </w:rPr>
    </w:pPr>
    <w:r>
      <w:rPr>
        <w:lang w:val="en-US"/>
      </w:rPr>
      <w:t>ECE/TRANS/WP.15/222/Corr.1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16" w:rsidRPr="009A6F4A" w:rsidRDefault="00510516">
    <w:pPr>
      <w:pStyle w:val="a9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/TRANS/WP.15/222/Corr.1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2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0358"/>
    <w:rsid w:val="00043224"/>
    <w:rsid w:val="00043D88"/>
    <w:rsid w:val="00046E4D"/>
    <w:rsid w:val="0006401A"/>
    <w:rsid w:val="00072C27"/>
    <w:rsid w:val="00076415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4421"/>
    <w:rsid w:val="0020059C"/>
    <w:rsid w:val="002019BD"/>
    <w:rsid w:val="0023160A"/>
    <w:rsid w:val="00232D42"/>
    <w:rsid w:val="00237334"/>
    <w:rsid w:val="002444F4"/>
    <w:rsid w:val="002629A0"/>
    <w:rsid w:val="002803F2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7D1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1EB4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47D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00B4"/>
    <w:rsid w:val="00510516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6D32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6D92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0E8E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7D6C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30E81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67C4"/>
    <w:rsid w:val="00B30A3C"/>
    <w:rsid w:val="00B81305"/>
    <w:rsid w:val="00B94512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57C6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E6547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  <w:rsid w:val="007E71C9"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rsid w:val="007E71C9"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semiHidden/>
    <w:rsid w:val="007E71C9"/>
    <w:rPr>
      <w:i/>
      <w:iCs/>
    </w:rPr>
  </w:style>
  <w:style w:type="character" w:styleId="HTML6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</Template>
  <TotalTime>1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1403788</vt:lpstr>
      <vt:lpstr>1403788</vt:lpstr>
    </vt:vector>
  </TitlesOfParts>
  <Manager>Kilina</Manager>
  <Company>CSD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1403788</dc:title>
  <dc:subject>ECE/TRANS/WP.15/222/Corr.1</dc:subject>
  <dc:creator>Chouvalova</dc:creator>
  <cp:keywords/>
  <cp:lastModifiedBy>Ibragimov</cp:lastModifiedBy>
  <cp:revision>2</cp:revision>
  <cp:lastPrinted>2014-07-23T06:03:00Z</cp:lastPrinted>
  <dcterms:created xsi:type="dcterms:W3CDTF">2015-04-23T08:40:00Z</dcterms:created>
  <dcterms:modified xsi:type="dcterms:W3CDTF">2015-04-23T08:40:00Z</dcterms:modified>
</cp:coreProperties>
</file>