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6F85" w:rsidRDefault="004B172C">
      <w:pPr>
        <w:pStyle w:val="1"/>
        <w:rPr>
          <w:sz w:val="18"/>
          <w:szCs w:val="18"/>
        </w:rPr>
      </w:pPr>
      <w:r w:rsidRPr="00096F85">
        <w:rPr>
          <w:sz w:val="18"/>
          <w:szCs w:val="18"/>
        </w:rPr>
        <w:t>Постановление Правительст</w:t>
      </w:r>
      <w:r w:rsidRPr="00096F85">
        <w:rPr>
          <w:sz w:val="18"/>
          <w:szCs w:val="18"/>
        </w:rPr>
        <w:t>ва РФ от 19 марта 2018 г. № 300</w:t>
      </w:r>
      <w:r w:rsidRPr="00096F85">
        <w:rPr>
          <w:sz w:val="18"/>
          <w:szCs w:val="18"/>
        </w:rPr>
        <w:br/>
        <w:t>"О внесении изменений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сбора”</w:t>
      </w:r>
    </w:p>
    <w:p w:rsidR="00000000" w:rsidRPr="00096F85" w:rsidRDefault="004B172C">
      <w:pPr>
        <w:rPr>
          <w:sz w:val="18"/>
          <w:szCs w:val="18"/>
        </w:rPr>
      </w:pPr>
    </w:p>
    <w:p w:rsidR="00000000" w:rsidRPr="00096F85" w:rsidRDefault="004B172C">
      <w:pPr>
        <w:rPr>
          <w:sz w:val="18"/>
          <w:szCs w:val="18"/>
        </w:rPr>
      </w:pPr>
      <w:r w:rsidRPr="00096F85">
        <w:rPr>
          <w:sz w:val="18"/>
          <w:szCs w:val="18"/>
        </w:rPr>
        <w:t>Правительство Российской Федерации постановляет:</w:t>
      </w:r>
    </w:p>
    <w:p w:rsidR="00000000" w:rsidRPr="00096F85" w:rsidRDefault="004B172C">
      <w:pPr>
        <w:rPr>
          <w:sz w:val="18"/>
          <w:szCs w:val="18"/>
        </w:rPr>
      </w:pPr>
      <w:r w:rsidRPr="00096F85">
        <w:rPr>
          <w:sz w:val="18"/>
          <w:szCs w:val="18"/>
        </w:rPr>
        <w:t>1. Утвердить прилагаемые изменения, которые вносятся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</w:t>
      </w:r>
      <w:r w:rsidRPr="00096F85">
        <w:rPr>
          <w:sz w:val="18"/>
          <w:szCs w:val="18"/>
        </w:rPr>
        <w:t>в утилизационного сбора, утвержденный постановлением Правительства Российской Федерации от 26 декабря 2013 г. № 1291 "Об утилизационном сборе в отношении колесных транспортных средств (шасси) и прицепов к ним и о внесении изменений в некоторые акты Правите</w:t>
      </w:r>
      <w:r w:rsidRPr="00096F85">
        <w:rPr>
          <w:sz w:val="18"/>
          <w:szCs w:val="18"/>
        </w:rPr>
        <w:t>льства Российской Федерации" (Собрание законодательства Российской Федерации, 2014, № 2, ст. 115; 2015, № 47, ст. 6592; № 51, ст. 7338; 2016, № 7, ст. 991; № 20, ст. 2840; 2017, № 42, ст. 6156).</w:t>
      </w:r>
    </w:p>
    <w:p w:rsidR="00000000" w:rsidRPr="00096F85" w:rsidRDefault="004B172C">
      <w:pPr>
        <w:rPr>
          <w:sz w:val="18"/>
          <w:szCs w:val="18"/>
        </w:rPr>
      </w:pPr>
      <w:r w:rsidRPr="00096F85">
        <w:rPr>
          <w:sz w:val="18"/>
          <w:szCs w:val="18"/>
        </w:rPr>
        <w:t>2. Настоящее постановление вступает в силу с 1 апреля 2018 г.</w:t>
      </w:r>
    </w:p>
    <w:p w:rsidR="00000000" w:rsidRPr="00096F85" w:rsidRDefault="004B172C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000000" w:rsidRPr="00096F85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6F85" w:rsidRDefault="004B172C">
            <w:pPr>
              <w:pStyle w:val="af0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Председатель Правительства</w:t>
            </w:r>
            <w:r w:rsidRPr="00096F85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6F85" w:rsidRDefault="004B172C">
            <w:pPr>
              <w:pStyle w:val="af1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Д. Медведев</w:t>
            </w:r>
          </w:p>
        </w:tc>
      </w:tr>
    </w:tbl>
    <w:p w:rsidR="00000000" w:rsidRPr="00096F85" w:rsidRDefault="004B172C">
      <w:pPr>
        <w:pStyle w:val="af1"/>
        <w:rPr>
          <w:sz w:val="18"/>
          <w:szCs w:val="18"/>
        </w:rPr>
      </w:pPr>
      <w:r w:rsidRPr="00096F85">
        <w:rPr>
          <w:sz w:val="18"/>
          <w:szCs w:val="18"/>
        </w:rPr>
        <w:t>УТВЕРЖДЕНЫ</w:t>
      </w:r>
      <w:r w:rsidRPr="00096F85">
        <w:rPr>
          <w:sz w:val="18"/>
          <w:szCs w:val="18"/>
        </w:rPr>
        <w:br/>
        <w:t>постановлением Правительства</w:t>
      </w:r>
      <w:r w:rsidRPr="00096F85">
        <w:rPr>
          <w:sz w:val="18"/>
          <w:szCs w:val="18"/>
        </w:rPr>
        <w:br/>
        <w:t>Российской Федерации</w:t>
      </w:r>
      <w:r w:rsidRPr="00096F85">
        <w:rPr>
          <w:sz w:val="18"/>
          <w:szCs w:val="18"/>
        </w:rPr>
        <w:br/>
        <w:t>от 19 марта 2018 г. № 300</w:t>
      </w:r>
    </w:p>
    <w:p w:rsidR="00000000" w:rsidRPr="00096F85" w:rsidRDefault="004B172C">
      <w:pPr>
        <w:rPr>
          <w:sz w:val="18"/>
          <w:szCs w:val="18"/>
        </w:rPr>
      </w:pPr>
    </w:p>
    <w:p w:rsidR="00000000" w:rsidRPr="00096F85" w:rsidRDefault="004B172C">
      <w:pPr>
        <w:pStyle w:val="1"/>
        <w:rPr>
          <w:sz w:val="18"/>
          <w:szCs w:val="18"/>
        </w:rPr>
      </w:pPr>
      <w:r w:rsidRPr="00096F85">
        <w:rPr>
          <w:sz w:val="18"/>
          <w:szCs w:val="18"/>
        </w:rPr>
        <w:t>Изменения,</w:t>
      </w:r>
      <w:r w:rsidRPr="00096F85">
        <w:rPr>
          <w:sz w:val="18"/>
          <w:szCs w:val="18"/>
        </w:rPr>
        <w:br/>
        <w:t>которые вносятся в перечень видов и категорий колесных транспортных средств (шасси) и прицепо</w:t>
      </w:r>
      <w:r w:rsidRPr="00096F85">
        <w:rPr>
          <w:sz w:val="18"/>
          <w:szCs w:val="18"/>
        </w:rPr>
        <w:t>в к ним, в отношении которых уплачивается утилизационный сбор, а также размеров утилизационного сбора</w:t>
      </w:r>
    </w:p>
    <w:p w:rsidR="00000000" w:rsidRPr="00096F85" w:rsidRDefault="004B172C">
      <w:pPr>
        <w:rPr>
          <w:sz w:val="18"/>
          <w:szCs w:val="18"/>
        </w:rPr>
      </w:pPr>
    </w:p>
    <w:p w:rsidR="00000000" w:rsidRPr="00096F85" w:rsidRDefault="004B172C">
      <w:pPr>
        <w:rPr>
          <w:sz w:val="18"/>
          <w:szCs w:val="18"/>
        </w:rPr>
      </w:pPr>
      <w:r w:rsidRPr="00096F85">
        <w:rPr>
          <w:sz w:val="18"/>
          <w:szCs w:val="18"/>
        </w:rPr>
        <w:t>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</w:t>
      </w:r>
      <w:r w:rsidRPr="00096F85">
        <w:rPr>
          <w:sz w:val="18"/>
          <w:szCs w:val="18"/>
        </w:rPr>
        <w:t xml:space="preserve"> утилизационного сбора изложить в следующей редакции:</w:t>
      </w:r>
    </w:p>
    <w:p w:rsidR="00000000" w:rsidRPr="00096F85" w:rsidRDefault="004B172C">
      <w:pPr>
        <w:rPr>
          <w:sz w:val="18"/>
          <w:szCs w:val="18"/>
        </w:rPr>
      </w:pPr>
    </w:p>
    <w:p w:rsidR="00000000" w:rsidRPr="00096F85" w:rsidRDefault="004B172C">
      <w:pPr>
        <w:pStyle w:val="af1"/>
        <w:rPr>
          <w:sz w:val="18"/>
          <w:szCs w:val="18"/>
        </w:rPr>
      </w:pPr>
      <w:r w:rsidRPr="00096F85">
        <w:rPr>
          <w:sz w:val="18"/>
          <w:szCs w:val="18"/>
        </w:rPr>
        <w:t>"УТВЕРЖДЕН</w:t>
      </w:r>
      <w:r w:rsidRPr="00096F85">
        <w:rPr>
          <w:sz w:val="18"/>
          <w:szCs w:val="18"/>
        </w:rPr>
        <w:br/>
        <w:t>постановлением Правительства</w:t>
      </w:r>
      <w:r w:rsidRPr="00096F85">
        <w:rPr>
          <w:sz w:val="18"/>
          <w:szCs w:val="18"/>
        </w:rPr>
        <w:br/>
        <w:t>Российской Федерации</w:t>
      </w:r>
      <w:r w:rsidRPr="00096F85">
        <w:rPr>
          <w:sz w:val="18"/>
          <w:szCs w:val="18"/>
        </w:rPr>
        <w:br/>
        <w:t>от 26 декабря 2013 г. № 1291</w:t>
      </w:r>
      <w:r w:rsidRPr="00096F85">
        <w:rPr>
          <w:sz w:val="18"/>
          <w:szCs w:val="18"/>
        </w:rPr>
        <w:br/>
        <w:t xml:space="preserve">(в редакции постановления </w:t>
      </w:r>
      <w:r w:rsidRPr="00096F85">
        <w:rPr>
          <w:sz w:val="18"/>
          <w:szCs w:val="18"/>
        </w:rPr>
        <w:br/>
        <w:t>Правительства Российской Федерации</w:t>
      </w:r>
      <w:r w:rsidRPr="00096F85">
        <w:rPr>
          <w:sz w:val="18"/>
          <w:szCs w:val="18"/>
        </w:rPr>
        <w:br/>
        <w:t>от 19 марта 2018 г. № 300)</w:t>
      </w:r>
    </w:p>
    <w:p w:rsidR="00000000" w:rsidRPr="00096F85" w:rsidRDefault="004B172C">
      <w:pPr>
        <w:rPr>
          <w:sz w:val="18"/>
          <w:szCs w:val="18"/>
        </w:rPr>
      </w:pPr>
    </w:p>
    <w:p w:rsidR="00000000" w:rsidRPr="00096F85" w:rsidRDefault="004B172C">
      <w:pPr>
        <w:pStyle w:val="1"/>
        <w:rPr>
          <w:sz w:val="18"/>
          <w:szCs w:val="18"/>
        </w:rPr>
      </w:pPr>
      <w:r w:rsidRPr="00096F85">
        <w:rPr>
          <w:sz w:val="18"/>
          <w:szCs w:val="18"/>
        </w:rPr>
        <w:t>Перечень</w:t>
      </w:r>
      <w:r w:rsidRPr="00096F85">
        <w:rPr>
          <w:sz w:val="18"/>
          <w:szCs w:val="18"/>
        </w:rPr>
        <w:br/>
        <w:t>видов и кате</w:t>
      </w:r>
      <w:r w:rsidRPr="00096F85">
        <w:rPr>
          <w:sz w:val="18"/>
          <w:szCs w:val="18"/>
        </w:rPr>
        <w:t xml:space="preserve">горий колесных транспортных средств (шасси) </w:t>
      </w:r>
      <w:r w:rsidRPr="00096F85">
        <w:rPr>
          <w:sz w:val="18"/>
          <w:szCs w:val="18"/>
        </w:rPr>
        <w:br/>
        <w:t>и прицепов к ним, в отношении которых уплачивается утилизационный сбор, а также размеров утилизационного сбора</w:t>
      </w:r>
      <w:r w:rsidRPr="00096F85">
        <w:rPr>
          <w:sz w:val="18"/>
          <w:szCs w:val="18"/>
          <w:vertAlign w:val="superscript"/>
        </w:rPr>
        <w:t>1</w:t>
      </w:r>
    </w:p>
    <w:p w:rsidR="00000000" w:rsidRDefault="004B17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3"/>
        <w:gridCol w:w="220"/>
        <w:gridCol w:w="1673"/>
        <w:gridCol w:w="1893"/>
        <w:gridCol w:w="2448"/>
      </w:tblGrid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  <w:vMerge w:val="restart"/>
            <w:vAlign w:val="center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Виды и категории транспортных средств</w:t>
            </w:r>
            <w:r w:rsidRPr="00096F8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34" w:type="dxa"/>
            <w:gridSpan w:val="4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Коэффициент расчета суммы утилизационного сбора</w:t>
            </w:r>
            <w:r w:rsidRPr="00096F85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  <w:vMerge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новые транспортные средства, за исключением транспортных средств, произведенных на базе шасси транспортных средств</w:t>
            </w:r>
          </w:p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2017 года выпуска</w:t>
            </w:r>
            <w:r w:rsidRPr="00096F8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транспортные средства, с даты выпуска которых прошло более </w:t>
            </w:r>
            <w:r w:rsidRPr="00096F85">
              <w:rPr>
                <w:sz w:val="18"/>
                <w:szCs w:val="18"/>
              </w:rPr>
              <w:br/>
              <w:t>3 лет</w:t>
            </w:r>
            <w:r w:rsidRPr="00096F8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транспортные средства, произведенные на базе шасси тран</w:t>
            </w:r>
            <w:r w:rsidRPr="00096F85">
              <w:rPr>
                <w:sz w:val="18"/>
                <w:szCs w:val="18"/>
              </w:rPr>
              <w:t xml:space="preserve">спортных средств </w:t>
            </w:r>
            <w:r w:rsidRPr="00096F85">
              <w:rPr>
                <w:sz w:val="18"/>
                <w:szCs w:val="18"/>
              </w:rPr>
              <w:br/>
              <w:t>2017 года выпуска</w:t>
            </w:r>
            <w:r w:rsidRPr="00096F85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I. Транспортные средства, выпущенные в обращение на территории Российской Федерации, категории M</w:t>
            </w:r>
            <w:r w:rsidRPr="00096F85">
              <w:rPr>
                <w:sz w:val="18"/>
                <w:szCs w:val="18"/>
                <w:vertAlign w:val="subscript"/>
              </w:rPr>
              <w:t>1</w:t>
            </w:r>
            <w:r w:rsidRPr="00096F85">
              <w:rPr>
                <w:sz w:val="18"/>
                <w:szCs w:val="18"/>
              </w:rPr>
              <w:t>, в том числе повышенной проходимости категории G, а также специальные и специализированные транспортные средства указанной категории</w:t>
            </w:r>
            <w:r w:rsidRPr="00096F85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1. Транспортные средства </w:t>
            </w:r>
            <w:r w:rsidRPr="00096F85">
              <w:rPr>
                <w:sz w:val="18"/>
                <w:szCs w:val="18"/>
              </w:rPr>
              <w:br/>
              <w:t>с электродвигателями, за исключением транспортных средств с гибридной силовой установкой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1,63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6,1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1,42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2. Транспортные средства </w:t>
            </w:r>
            <w:r w:rsidRPr="00096F85">
              <w:rPr>
                <w:sz w:val="18"/>
                <w:szCs w:val="18"/>
              </w:rPr>
              <w:br/>
              <w:t>с рабочим объемом двигателя: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не более 1000 куб. сантиметров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1,65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6,15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1,42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свыше 1000 куб. сантиметров, но не более 2000 куб. сантиметров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4,2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15,69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2,21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свыше 2000 куб. сантиметров, но не более 3000 куб. сантиметров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6,3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24,01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4,22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свыше 3000 куб. сантиметров, но не более 3500 куб. сантиметров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5,73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28,5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5,73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свыше 3500 куб. сантиметров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9,08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35,01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9,08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4033" w:type="dxa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3. Транспортные средства, ввозимые физическими лицами для личного пользования, вне зависимости от объема двигателя</w:t>
            </w:r>
          </w:p>
        </w:tc>
        <w:tc>
          <w:tcPr>
            <w:tcW w:w="1893" w:type="dxa"/>
            <w:gridSpan w:val="2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0,17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0,26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0,17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II. Транспортные средства, выпущенные в обращение на территории Российской Федерации, категорий N</w:t>
            </w:r>
            <w:r w:rsidRPr="00096F85">
              <w:rPr>
                <w:sz w:val="18"/>
                <w:szCs w:val="18"/>
                <w:vertAlign w:val="subscript"/>
              </w:rPr>
              <w:t>1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>, в том числе повышенной проходимости категории G, а также специализированные транспортные средства указанных категорий</w:t>
            </w:r>
            <w:r w:rsidRPr="00096F8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lastRenderedPageBreak/>
              <w:t xml:space="preserve">4. Транспортные средства полной массой не более </w:t>
            </w:r>
            <w:r w:rsidRPr="00096F85">
              <w:rPr>
                <w:sz w:val="18"/>
                <w:szCs w:val="18"/>
              </w:rPr>
              <w:br/>
              <w:t>2,5 тонны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0,95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1,01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0,83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5.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</w:r>
            <w:r w:rsidRPr="00096F85">
              <w:rPr>
                <w:sz w:val="18"/>
                <w:szCs w:val="18"/>
              </w:rPr>
              <w:t xml:space="preserve">2,5 тонны, но не более </w:t>
            </w:r>
            <w:r w:rsidRPr="00096F85">
              <w:rPr>
                <w:sz w:val="18"/>
                <w:szCs w:val="18"/>
              </w:rPr>
              <w:br/>
              <w:t>3,5 тонны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2,88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1,32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6.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  <w:t>3,5 тонны, но не более 5 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3,04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1,65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7.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  <w:t>5 тонн, но не более 8 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2,09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5,24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1,82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8.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  <w:t>8 тонн, но не более 12 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2,54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7,95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2,21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9.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  <w:t>12 тонн, но не более 20 тонн</w:t>
            </w:r>
            <w:r w:rsidRPr="00096F85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2,79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11,57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2,43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C37437" w:rsidRDefault="004B172C">
            <w:pPr>
              <w:pStyle w:val="af"/>
              <w:jc w:val="left"/>
              <w:rPr>
                <w:b/>
                <w:sz w:val="18"/>
                <w:szCs w:val="18"/>
              </w:rPr>
            </w:pPr>
            <w:r w:rsidRPr="00C37437">
              <w:rPr>
                <w:b/>
                <w:sz w:val="18"/>
                <w:szCs w:val="18"/>
              </w:rPr>
              <w:t xml:space="preserve">10. Седельные тягачи полной массой свыше </w:t>
            </w:r>
            <w:r w:rsidRPr="00C37437">
              <w:rPr>
                <w:b/>
                <w:sz w:val="18"/>
                <w:szCs w:val="18"/>
              </w:rPr>
              <w:br/>
              <w:t xml:space="preserve">12 тонн, но не более </w:t>
            </w:r>
            <w:r w:rsidRPr="00C37437">
              <w:rPr>
                <w:b/>
                <w:sz w:val="18"/>
                <w:szCs w:val="18"/>
              </w:rPr>
              <w:br/>
              <w:t>20 тонн</w:t>
            </w:r>
            <w:r w:rsidRPr="00C37437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73" w:type="dxa"/>
          </w:tcPr>
          <w:p w:rsidR="00000000" w:rsidRPr="00C37437" w:rsidRDefault="004B172C">
            <w:pPr>
              <w:pStyle w:val="aff5"/>
              <w:rPr>
                <w:b/>
                <w:sz w:val="18"/>
                <w:szCs w:val="18"/>
              </w:rPr>
            </w:pPr>
            <w:r w:rsidRPr="00C37437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23,13</w:t>
            </w:r>
          </w:p>
        </w:tc>
        <w:tc>
          <w:tcPr>
            <w:tcW w:w="2448" w:type="dxa"/>
          </w:tcPr>
          <w:p w:rsidR="00000000" w:rsidRPr="00C37437" w:rsidRDefault="004B172C">
            <w:pPr>
              <w:pStyle w:val="aff5"/>
              <w:rPr>
                <w:b/>
                <w:sz w:val="18"/>
                <w:szCs w:val="18"/>
              </w:rPr>
            </w:pPr>
            <w:r w:rsidRPr="00C37437">
              <w:rPr>
                <w:b/>
                <w:sz w:val="18"/>
                <w:szCs w:val="18"/>
              </w:rPr>
              <w:t>2,43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11. Автосамосвалы полной массой свыше 12 тонн, </w:t>
            </w:r>
            <w:r w:rsidRPr="00096F85">
              <w:rPr>
                <w:sz w:val="18"/>
                <w:szCs w:val="18"/>
              </w:rPr>
              <w:br/>
              <w:t>но не более 20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2,79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11,57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2,43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12. Автомобили-фургоны, включая рефрижераторы, полной массой свыше </w:t>
            </w:r>
            <w:r w:rsidRPr="00096F85">
              <w:rPr>
                <w:sz w:val="18"/>
                <w:szCs w:val="18"/>
              </w:rPr>
              <w:br/>
              <w:t xml:space="preserve">12 тонн, но не более </w:t>
            </w:r>
            <w:r w:rsidRPr="00096F85">
              <w:rPr>
                <w:sz w:val="18"/>
                <w:szCs w:val="18"/>
              </w:rPr>
              <w:br/>
              <w:t>20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2,79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11,57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2,43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13. Транспортные средства полной массой свыше </w:t>
            </w:r>
            <w:r w:rsidRPr="00096F85">
              <w:rPr>
                <w:sz w:val="18"/>
                <w:szCs w:val="18"/>
              </w:rPr>
              <w:br/>
              <w:t>20 тонн, но не более 50 тонн</w:t>
            </w:r>
            <w:r w:rsidRPr="00096F85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13,57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4,79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14. Седельные тягачи полной массой свыше </w:t>
            </w:r>
            <w:r w:rsidRPr="00096F85">
              <w:rPr>
                <w:sz w:val="18"/>
                <w:szCs w:val="18"/>
              </w:rPr>
              <w:br/>
              <w:t>20 тонн, но не более 50 тонн</w:t>
            </w:r>
            <w:r w:rsidRPr="00096F85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13,57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4,79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15. Автосамосвалы полной массой свыше 20 тонн, но не более 50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13,57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4,79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16. Автомобили-фургоны, включая рефрижераторы, полной массой свыше 20 тонн, но не более 50 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13,57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4,79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III. Специальные транспортные средства, выпущенные в обращение на территории Российской Федерации, категорий M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M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1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>, в т</w:t>
            </w:r>
            <w:r w:rsidRPr="00096F85">
              <w:rPr>
                <w:sz w:val="18"/>
                <w:szCs w:val="18"/>
              </w:rPr>
              <w:t>ом числе повышенной проходимости категории G</w:t>
            </w:r>
            <w:r w:rsidRPr="00096F8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17. Специальные транспортные</w:t>
            </w:r>
            <w:r w:rsidRPr="00096F85">
              <w:rPr>
                <w:sz w:val="18"/>
                <w:szCs w:val="18"/>
              </w:rPr>
              <w:br/>
              <w:t xml:space="preserve">средства, кроме </w:t>
            </w:r>
            <w:proofErr w:type="spellStart"/>
            <w:r w:rsidRPr="00096F85">
              <w:rPr>
                <w:sz w:val="18"/>
                <w:szCs w:val="18"/>
              </w:rPr>
              <w:t>автобетоносмесителей</w:t>
            </w:r>
            <w:proofErr w:type="spellEnd"/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11,5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1,65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18. </w:t>
            </w:r>
            <w:proofErr w:type="spellStart"/>
            <w:r w:rsidRPr="00096F85">
              <w:rPr>
                <w:sz w:val="18"/>
                <w:szCs w:val="18"/>
              </w:rPr>
              <w:t>Автобетоносмесители</w:t>
            </w:r>
            <w:proofErr w:type="spellEnd"/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5,69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14,95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4,95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IV. Транспортные средства, выпущенные в обращение на территории Российской Федерации, категорий M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M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 xml:space="preserve">, в том числе повышенной проходимости категории G, </w:t>
            </w:r>
            <w:r w:rsidRPr="00096F85">
              <w:rPr>
                <w:sz w:val="18"/>
                <w:szCs w:val="18"/>
              </w:rPr>
              <w:br/>
              <w:t>а также специализированные транспортные средства указанных категорий</w:t>
            </w:r>
            <w:r w:rsidRPr="00096F8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19. Транспортные </w:t>
            </w:r>
            <w:r w:rsidRPr="00096F85">
              <w:rPr>
                <w:sz w:val="18"/>
                <w:szCs w:val="18"/>
              </w:rPr>
              <w:br/>
              <w:t>средства с об</w:t>
            </w:r>
            <w:r w:rsidRPr="00096F85">
              <w:rPr>
                <w:sz w:val="18"/>
                <w:szCs w:val="18"/>
              </w:rPr>
              <w:t>ъемом двигателя не более 2500 куб. сантиметров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1,14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1,15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0,99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20. Транспортные средства с электродвигателями, </w:t>
            </w:r>
            <w:r w:rsidRPr="00096F85">
              <w:rPr>
                <w:sz w:val="18"/>
                <w:szCs w:val="18"/>
              </w:rPr>
              <w:br/>
              <w:t>за исключением транспортных средств с гибридной силовой установкой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1,14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1,15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0,99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21. Транспортные </w:t>
            </w:r>
            <w:r w:rsidRPr="00096F85">
              <w:rPr>
                <w:sz w:val="18"/>
                <w:szCs w:val="18"/>
              </w:rPr>
              <w:br/>
              <w:t>средства с объемом двигателя свыше 2500 </w:t>
            </w:r>
            <w:r w:rsidRPr="00096F85">
              <w:rPr>
                <w:sz w:val="18"/>
                <w:szCs w:val="18"/>
              </w:rPr>
              <w:t xml:space="preserve">куб. сантиметров, </w:t>
            </w:r>
            <w:r w:rsidRPr="00096F85">
              <w:rPr>
                <w:sz w:val="18"/>
                <w:szCs w:val="18"/>
              </w:rPr>
              <w:br/>
              <w:t xml:space="preserve">но не более </w:t>
            </w:r>
            <w:r w:rsidRPr="00096F85">
              <w:rPr>
                <w:sz w:val="18"/>
                <w:szCs w:val="18"/>
              </w:rPr>
              <w:br/>
              <w:t>5000 куб. сантиметров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2,28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3,45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1,98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22. Транспортные </w:t>
            </w:r>
            <w:r w:rsidRPr="00096F85">
              <w:rPr>
                <w:sz w:val="18"/>
                <w:szCs w:val="18"/>
              </w:rPr>
              <w:br/>
              <w:t xml:space="preserve">средства с объемом двигателя свыше 5000 куб. сантиметров, </w:t>
            </w:r>
            <w:r w:rsidRPr="00096F85">
              <w:rPr>
                <w:sz w:val="18"/>
                <w:szCs w:val="18"/>
              </w:rPr>
              <w:br/>
              <w:t xml:space="preserve">но не более </w:t>
            </w:r>
            <w:r w:rsidRPr="00096F85">
              <w:rPr>
                <w:sz w:val="18"/>
                <w:szCs w:val="18"/>
              </w:rPr>
              <w:br/>
              <w:t>10000 куб. сантиметров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3,04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5,06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2,64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23. Транспортные </w:t>
            </w:r>
            <w:r w:rsidRPr="00096F85">
              <w:rPr>
                <w:sz w:val="18"/>
                <w:szCs w:val="18"/>
              </w:rPr>
              <w:br/>
            </w:r>
            <w:r w:rsidRPr="00096F85">
              <w:rPr>
                <w:sz w:val="18"/>
                <w:szCs w:val="18"/>
              </w:rPr>
              <w:t>средства с объемом двигателя свыше 10000 куб. сантиметров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3,8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5,98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3,3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V. Шасси колесных транспортных средств, выпущенные в обращение на территории Российской Федерации, категорий N</w:t>
            </w:r>
            <w:r w:rsidRPr="00096F85">
              <w:rPr>
                <w:sz w:val="18"/>
                <w:szCs w:val="18"/>
                <w:vertAlign w:val="subscript"/>
              </w:rPr>
              <w:t>1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N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>, M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>, M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24.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1</w:t>
            </w:r>
            <w:r w:rsidRPr="00096F85">
              <w:rPr>
                <w:sz w:val="18"/>
                <w:szCs w:val="18"/>
              </w:rPr>
              <w:t xml:space="preserve"> п</w:t>
            </w:r>
            <w:r w:rsidRPr="00096F85">
              <w:rPr>
                <w:sz w:val="18"/>
                <w:szCs w:val="18"/>
              </w:rPr>
              <w:t>олной массой не более 3,5 тонны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1,52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2,37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1,32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25.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 xml:space="preserve"> полной массой свыше 3,5 тонны, но не более 5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3,04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1,65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26.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 xml:space="preserve"> полной массой свыше 5 тонн, </w:t>
            </w:r>
            <w:r w:rsidRPr="00096F85">
              <w:rPr>
                <w:sz w:val="18"/>
                <w:szCs w:val="18"/>
              </w:rPr>
              <w:br/>
            </w:r>
            <w:r w:rsidRPr="00096F85">
              <w:rPr>
                <w:sz w:val="18"/>
                <w:szCs w:val="18"/>
              </w:rPr>
              <w:t>но не более 8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2,09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5,24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1,82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lastRenderedPageBreak/>
              <w:t>27.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 xml:space="preserve"> полной массой свыше 8 тонн, </w:t>
            </w:r>
            <w:r w:rsidRPr="00096F85">
              <w:rPr>
                <w:sz w:val="18"/>
                <w:szCs w:val="18"/>
              </w:rPr>
              <w:br/>
              <w:t>но не более 12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2,54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7,95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2,21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28.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 xml:space="preserve"> полной массой свыше 12 тонн, </w:t>
            </w:r>
            <w:r w:rsidRPr="00096F85">
              <w:rPr>
                <w:sz w:val="18"/>
                <w:szCs w:val="18"/>
              </w:rPr>
              <w:br/>
              <w:t>но не более 20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2,79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11,57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2,43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29. Шасси колесных транспортных средств категории N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 xml:space="preserve"> полной массой свыше 20 тонн, </w:t>
            </w:r>
            <w:r w:rsidRPr="00096F85">
              <w:rPr>
                <w:sz w:val="18"/>
                <w:szCs w:val="18"/>
              </w:rPr>
              <w:br/>
              <w:t>но не более 50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13,57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4,79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30. Шасси колесных транспортных средств категории M</w:t>
            </w:r>
            <w:r w:rsidRPr="00096F85">
              <w:rPr>
                <w:sz w:val="18"/>
                <w:szCs w:val="18"/>
                <w:vertAlign w:val="subscript"/>
              </w:rPr>
              <w:t>2</w:t>
            </w:r>
            <w:r w:rsidRPr="00096F85">
              <w:rPr>
                <w:sz w:val="18"/>
                <w:szCs w:val="18"/>
              </w:rPr>
              <w:t xml:space="preserve"> полной массой не более 5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3,04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5,06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2,64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31. Шасси колесных транспортных средств категории M</w:t>
            </w:r>
            <w:r w:rsidRPr="00096F85">
              <w:rPr>
                <w:sz w:val="18"/>
                <w:szCs w:val="18"/>
                <w:vertAlign w:val="subscript"/>
              </w:rPr>
              <w:t>3</w:t>
            </w:r>
            <w:r w:rsidRPr="00096F85">
              <w:rPr>
                <w:sz w:val="18"/>
                <w:szCs w:val="18"/>
              </w:rPr>
              <w:t xml:space="preserve"> полной массой свыше 5 тонн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3,8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5,98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3,3</w:t>
            </w:r>
          </w:p>
        </w:tc>
      </w:tr>
      <w:tr w:rsidR="00000000" w:rsidRPr="00096F85" w:rsidTr="00096F85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 xml:space="preserve">VI. Прицепы, выпущенные в обращение на территории </w:t>
            </w:r>
            <w:r w:rsidRPr="00096F85">
              <w:rPr>
                <w:sz w:val="18"/>
                <w:szCs w:val="18"/>
              </w:rPr>
              <w:br/>
              <w:t>Российской Федерации, категории О</w:t>
            </w:r>
            <w:r w:rsidRPr="00096F85">
              <w:rPr>
                <w:sz w:val="18"/>
                <w:szCs w:val="18"/>
                <w:vertAlign w:val="subscript"/>
              </w:rPr>
              <w:t>4</w:t>
            </w:r>
            <w:r w:rsidRPr="00096F85">
              <w:rPr>
                <w:sz w:val="18"/>
                <w:szCs w:val="18"/>
              </w:rPr>
              <w:t xml:space="preserve">, в том числе специальные </w:t>
            </w:r>
            <w:r w:rsidRPr="00096F85">
              <w:rPr>
                <w:sz w:val="18"/>
                <w:szCs w:val="18"/>
              </w:rPr>
              <w:br/>
              <w:t>и специализированные транспортные средства указанн</w:t>
            </w:r>
            <w:r w:rsidRPr="00096F85">
              <w:rPr>
                <w:sz w:val="18"/>
                <w:szCs w:val="18"/>
              </w:rPr>
              <w:t>ой категории</w:t>
            </w:r>
            <w:r w:rsidRPr="00096F8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32. Полные прицепы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8,05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-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33. Полуприцепы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8,05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-</w:t>
            </w:r>
          </w:p>
        </w:tc>
      </w:tr>
      <w:tr w:rsidR="00000000" w:rsidRPr="00096F85" w:rsidTr="00C3743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000000" w:rsidRPr="00096F85" w:rsidRDefault="004B172C">
            <w:pPr>
              <w:pStyle w:val="af"/>
              <w:jc w:val="left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34. Прицепы с центральной осью</w:t>
            </w:r>
          </w:p>
        </w:tc>
        <w:tc>
          <w:tcPr>
            <w:tcW w:w="167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0,5</w:t>
            </w:r>
          </w:p>
        </w:tc>
        <w:tc>
          <w:tcPr>
            <w:tcW w:w="1893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8,05</w:t>
            </w:r>
          </w:p>
        </w:tc>
        <w:tc>
          <w:tcPr>
            <w:tcW w:w="2448" w:type="dxa"/>
          </w:tcPr>
          <w:p w:rsidR="00000000" w:rsidRPr="00096F85" w:rsidRDefault="004B172C">
            <w:pPr>
              <w:pStyle w:val="aff5"/>
              <w:rPr>
                <w:sz w:val="18"/>
                <w:szCs w:val="18"/>
              </w:rPr>
            </w:pPr>
            <w:r w:rsidRPr="00096F85">
              <w:rPr>
                <w:sz w:val="18"/>
                <w:szCs w:val="18"/>
              </w:rPr>
              <w:t>-</w:t>
            </w:r>
          </w:p>
        </w:tc>
      </w:tr>
    </w:tbl>
    <w:p w:rsidR="00000000" w:rsidRDefault="004B172C"/>
    <w:p w:rsidR="00000000" w:rsidRDefault="004B172C">
      <w:pPr>
        <w:pStyle w:val="OEM"/>
      </w:pPr>
      <w:r>
        <w:t>──────────────────────────────</w:t>
      </w:r>
    </w:p>
    <w:p w:rsidR="00000000" w:rsidRDefault="004B172C">
      <w:pPr>
        <w:pStyle w:val="aff0"/>
      </w:pPr>
      <w:r>
        <w:rPr>
          <w:vertAlign w:val="superscript"/>
        </w:rPr>
        <w:t>1</w:t>
      </w:r>
      <w:r>
        <w:t> Размер утилизационного сбора, подлежащего уплате в отношении колесных транспортных с</w:t>
      </w:r>
      <w:r>
        <w:t>редств (шасси) и прицепов к ним, на которые выдается новый паспорт транспортного средства или оформляется новый электронный паспорт, которые изготовлены (достроены) на базе колесных транспортных средств (шасси) или прицепов к ним, в отношении которых ранее</w:t>
      </w:r>
      <w:r>
        <w:t xml:space="preserve"> был уплачен утилизационный сбор, определяется как разница между суммой утилизационного сбора, подлежащей уплате в отношении таких колесных транспортных средств и прицепов к ним, и суммой утилизационного сбора, ранее уплаченной в отношении колесных транспо</w:t>
      </w:r>
      <w:r>
        <w:t>ртных средств (шасси) или прицепов к ним, на базе которых была осуществлена достройка.</w:t>
      </w:r>
    </w:p>
    <w:p w:rsidR="00000000" w:rsidRDefault="004B172C">
      <w:pPr>
        <w:pStyle w:val="aff0"/>
      </w:pPr>
      <w:r>
        <w:rPr>
          <w:vertAlign w:val="superscript"/>
        </w:rPr>
        <w:t>2</w:t>
      </w:r>
      <w:r>
        <w:t> Категории колесных транспортных средств (шасси) и прицепов к ним соответствуют классификации, установленной техническим регламентом Таможенного союза "О безопасности к</w:t>
      </w:r>
      <w:r>
        <w:t>олесных транспортных средств".</w:t>
      </w:r>
    </w:p>
    <w:p w:rsidR="00000000" w:rsidRDefault="004B172C">
      <w:pPr>
        <w:pStyle w:val="aff0"/>
      </w:pPr>
      <w:r>
        <w:rPr>
          <w:vertAlign w:val="superscript"/>
        </w:rPr>
        <w:t>3</w:t>
      </w:r>
      <w:r>
        <w:t> Размер утилизационного сбора на категорию (вид) колесного транспортного средства (шасси) или прицепа к нему равен произведению базовой ставки и коэффициента, предусмотренного для конкретной позиции.</w:t>
      </w:r>
    </w:p>
    <w:p w:rsidR="00000000" w:rsidRDefault="004B172C">
      <w:pPr>
        <w:pStyle w:val="aff0"/>
      </w:pPr>
      <w:r>
        <w:rPr>
          <w:vertAlign w:val="superscript"/>
        </w:rPr>
        <w:t>4</w:t>
      </w:r>
      <w:r>
        <w:t> При отсутствии докумен</w:t>
      </w:r>
      <w:r>
        <w:t>тального подтверждения даты выпуска, которой является дата изготовления колесного транспортного средства (шасси) или прицепа к нему, год выпуска определяется по коду изготовления, указанному в идентификационном номере колесного транспортного средства (шасс</w:t>
      </w:r>
      <w:r>
        <w:t>и) или прицепа к нему, при этом 3-летний срок исчисляется начиная с 1 июля года изготовления. Под датой уплаты утилизационного сбора понимается дата, указанная в платежном документе, подтверждающем уплату утилизационного сбора.</w:t>
      </w:r>
    </w:p>
    <w:p w:rsidR="00000000" w:rsidRDefault="004B172C">
      <w:pPr>
        <w:pStyle w:val="aff0"/>
      </w:pPr>
      <w:r>
        <w:rPr>
          <w:vertAlign w:val="superscript"/>
        </w:rPr>
        <w:t>5 </w:t>
      </w:r>
      <w:r>
        <w:t>Коэффициенты расчета суммы</w:t>
      </w:r>
      <w:r>
        <w:t xml:space="preserve"> утилизационного сбора в отношении транспортных средств, произведенных на базе шасси транспортных средств 2017 года выпуска, применяются до 31 декабря 2018 г. включительно.</w:t>
      </w:r>
    </w:p>
    <w:p w:rsidR="00000000" w:rsidRDefault="004B172C">
      <w:pPr>
        <w:pStyle w:val="aff0"/>
      </w:pPr>
      <w:r>
        <w:rPr>
          <w:vertAlign w:val="superscript"/>
        </w:rPr>
        <w:t>6</w:t>
      </w:r>
      <w:r>
        <w:t> Базовая ставка для расчета суммы утилизационного сбора равна 20000 рублей.</w:t>
      </w:r>
    </w:p>
    <w:p w:rsidR="00000000" w:rsidRDefault="004B172C">
      <w:pPr>
        <w:pStyle w:val="aff0"/>
      </w:pPr>
      <w:r>
        <w:rPr>
          <w:vertAlign w:val="superscript"/>
        </w:rPr>
        <w:t>7</w:t>
      </w:r>
      <w:r>
        <w:t> </w:t>
      </w:r>
      <w:r>
        <w:t>Базовая ставка для расчета суммы утилизационного сбора равна 150000 рублей.</w:t>
      </w:r>
    </w:p>
    <w:p w:rsidR="00000000" w:rsidRDefault="004B172C">
      <w:pPr>
        <w:pStyle w:val="aff0"/>
      </w:pPr>
      <w:r>
        <w:rPr>
          <w:vertAlign w:val="superscript"/>
        </w:rPr>
        <w:t>8</w:t>
      </w:r>
      <w:r>
        <w:t> </w:t>
      </w:r>
      <w:r>
        <w:t xml:space="preserve">Размер утилизационного сбора, подлежащего уплате в отношении колесных транспортных средств (шасси) и прицепов к ним, ввезенных на таможенную территорию Российской Федерации и помещенных под таможенный режим временного ввоза в соответствии с постановлением </w:t>
      </w:r>
      <w:r>
        <w:t>Правительства Российской Федерации от 11 марта 2003 г. № 147 "О дополнительных мерах государственной поддержки российского автомобильного транспорта, предназначенного для международных перевозок", рассчитывается с применением коэффициента, равного 0,25.".</w:t>
      </w:r>
    </w:p>
    <w:p w:rsidR="004B172C" w:rsidRDefault="004B172C">
      <w:pPr>
        <w:pStyle w:val="aff0"/>
      </w:pPr>
    </w:p>
    <w:sectPr w:rsidR="004B172C" w:rsidSect="00096F85">
      <w:pgSz w:w="11906" w:h="16838"/>
      <w:pgMar w:top="284" w:right="567" w:bottom="284" w:left="5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6F85"/>
    <w:rsid w:val="00096F85"/>
    <w:rsid w:val="004B172C"/>
    <w:rsid w:val="00833838"/>
    <w:rsid w:val="00C3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 Спец Транс</dc:creator>
  <cp:lastModifiedBy>Лидер Спец Транс</cp:lastModifiedBy>
  <cp:revision>3</cp:revision>
  <dcterms:created xsi:type="dcterms:W3CDTF">2018-03-27T09:10:00Z</dcterms:created>
  <dcterms:modified xsi:type="dcterms:W3CDTF">2018-03-27T09:23:00Z</dcterms:modified>
</cp:coreProperties>
</file>